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9855D" w14:textId="7524E1FA" w:rsidR="00EF5654" w:rsidRPr="00F434C3" w:rsidRDefault="00EF5654" w:rsidP="00F434C3">
      <w:pPr>
        <w:pStyle w:val="Title"/>
      </w:pPr>
      <w:r w:rsidRPr="00F434C3">
        <w:t>Characterizing the risk of exposure to SARS-CoV-2 among non-health care occupations</w:t>
      </w:r>
      <w:r w:rsidR="00F434C3" w:rsidRPr="00F434C3">
        <w:t xml:space="preserve"> </w:t>
      </w:r>
      <w:r w:rsidRPr="00F434C3">
        <w:t xml:space="preserve">based on three workplace risk factors: public facing work, working indoors, </w:t>
      </w:r>
      <w:r w:rsidR="00092B03" w:rsidRPr="00F434C3">
        <w:t xml:space="preserve">and </w:t>
      </w:r>
      <w:r w:rsidRPr="00F434C3">
        <w:t>working</w:t>
      </w:r>
      <w:r w:rsidR="00F434C3" w:rsidRPr="00F434C3">
        <w:t xml:space="preserve"> </w:t>
      </w:r>
      <w:r w:rsidRPr="00F434C3">
        <w:t>in close physical proximity to others</w:t>
      </w:r>
    </w:p>
    <w:p w14:paraId="38BDAECC" w14:textId="3178C001" w:rsidR="00EF5654" w:rsidRPr="00F434C3" w:rsidRDefault="00EF5654" w:rsidP="00F434C3">
      <w:pPr>
        <w:pStyle w:val="Subtitle"/>
      </w:pPr>
      <w:r w:rsidRPr="00F434C3">
        <w:t>CSTE Occupational Health Subcommittee</w:t>
      </w:r>
    </w:p>
    <w:p w14:paraId="5185183F" w14:textId="75CD2DF9" w:rsidR="00EF5654" w:rsidRPr="00E4571E" w:rsidRDefault="00EF5654" w:rsidP="00F434C3">
      <w:pPr>
        <w:pStyle w:val="Subtitle"/>
      </w:pPr>
      <w:r w:rsidRPr="00F434C3">
        <w:t xml:space="preserve">Work Group </w:t>
      </w:r>
      <w:r w:rsidRPr="00E4571E">
        <w:t>on Essential Workers - Exposure Measures Team</w:t>
      </w:r>
    </w:p>
    <w:p w14:paraId="37372DF5" w14:textId="603F3305" w:rsidR="00F24983" w:rsidRPr="00E4571E" w:rsidRDefault="00064891" w:rsidP="001C48F6">
      <w:pPr>
        <w:tabs>
          <w:tab w:val="left" w:pos="6480"/>
        </w:tabs>
        <w:jc w:val="center"/>
        <w:rPr>
          <w:rFonts w:cstheme="majorHAnsi"/>
        </w:rPr>
      </w:pPr>
      <w:r>
        <w:rPr>
          <w:rFonts w:cstheme="majorHAnsi"/>
        </w:rPr>
        <w:t xml:space="preserve">August </w:t>
      </w:r>
      <w:r w:rsidR="0006542D">
        <w:rPr>
          <w:rFonts w:cstheme="majorHAnsi"/>
        </w:rPr>
        <w:t>18</w:t>
      </w:r>
      <w:r w:rsidR="00F24983" w:rsidRPr="00A2143C">
        <w:rPr>
          <w:rFonts w:cstheme="majorHAnsi"/>
        </w:rPr>
        <w:t>, 2021</w:t>
      </w:r>
    </w:p>
    <w:p w14:paraId="5726038A" w14:textId="386E1320" w:rsidR="009D461A" w:rsidRPr="00E4571E" w:rsidRDefault="00F24983" w:rsidP="4723448A">
      <w:pPr>
        <w:jc w:val="center"/>
        <w:rPr>
          <w:rFonts w:ascii="Calibri" w:eastAsia="Calibri" w:hAnsi="Calibri" w:cs="Calibri"/>
        </w:rPr>
      </w:pPr>
      <w:r w:rsidRPr="4723448A">
        <w:rPr>
          <w:i/>
          <w:iCs/>
        </w:rPr>
        <w:t xml:space="preserve">This </w:t>
      </w:r>
      <w:r w:rsidR="00733094" w:rsidRPr="4723448A">
        <w:rPr>
          <w:i/>
          <w:iCs/>
        </w:rPr>
        <w:t>8</w:t>
      </w:r>
      <w:r w:rsidRPr="4723448A">
        <w:rPr>
          <w:i/>
          <w:iCs/>
        </w:rPr>
        <w:t>-</w:t>
      </w:r>
      <w:r w:rsidR="00AD2423" w:rsidRPr="4723448A">
        <w:rPr>
          <w:i/>
          <w:iCs/>
        </w:rPr>
        <w:t>18</w:t>
      </w:r>
      <w:r w:rsidRPr="4723448A">
        <w:rPr>
          <w:i/>
          <w:iCs/>
        </w:rPr>
        <w:t xml:space="preserve">-21 version updates the original </w:t>
      </w:r>
      <w:r w:rsidR="00C21481" w:rsidRPr="4723448A">
        <w:rPr>
          <w:i/>
          <w:iCs/>
        </w:rPr>
        <w:t>4-8</w:t>
      </w:r>
      <w:r w:rsidRPr="4723448A">
        <w:rPr>
          <w:i/>
          <w:iCs/>
        </w:rPr>
        <w:t xml:space="preserve">-21 version of this document by including information about levels of potential exposure to SARS-CoV-2 for </w:t>
      </w:r>
      <w:r w:rsidR="00A93DFA" w:rsidRPr="4723448A">
        <w:rPr>
          <w:i/>
          <w:iCs/>
        </w:rPr>
        <w:t>45</w:t>
      </w:r>
      <w:r w:rsidRPr="4723448A">
        <w:rPr>
          <w:i/>
          <w:iCs/>
        </w:rPr>
        <w:t xml:space="preserve"> additional </w:t>
      </w:r>
      <w:r w:rsidR="0082692F" w:rsidRPr="4723448A">
        <w:rPr>
          <w:i/>
          <w:iCs/>
        </w:rPr>
        <w:t xml:space="preserve">non-health care </w:t>
      </w:r>
      <w:r w:rsidRPr="4723448A">
        <w:rPr>
          <w:i/>
          <w:iCs/>
        </w:rPr>
        <w:t>occupations for which O*NET does not collect data.</w:t>
      </w:r>
      <w:r w:rsidR="001D0C8A" w:rsidRPr="4723448A">
        <w:rPr>
          <w:i/>
          <w:iCs/>
        </w:rPr>
        <w:t xml:space="preserve"> </w:t>
      </w:r>
      <w:r w:rsidR="009D461A" w:rsidRPr="4723448A">
        <w:rPr>
          <w:i/>
          <w:iCs/>
        </w:rPr>
        <w:t xml:space="preserve">Also, Proximity 1 classification was changed from 3 to 2 for two Census Occupation Classification Codes (4850 &amp; 5700). </w:t>
      </w:r>
      <w:r w:rsidR="4723448A" w:rsidRPr="68C2BFB3">
        <w:rPr>
          <w:rFonts w:ascii="Calibri" w:eastAsia="Calibri" w:hAnsi="Calibri" w:cs="Calibri"/>
          <w:i/>
        </w:rPr>
        <w:t xml:space="preserve">For further application of the SARS-CoV-2 -Occupational Exposure Matrix described in this document, see the CSTE OSH Subcommittee March 2022 document:  SARS-CoV-2 Occupational Exposure Matrix - Industry Extension: An approach to using occupation information to identify industries at high risk of exposure to SARS-CoV-2 (URL: </w:t>
      </w:r>
      <w:hyperlink r:id="rId8">
        <w:r w:rsidR="4723448A" w:rsidRPr="68C2BFB3">
          <w:rPr>
            <w:rStyle w:val="Hyperlink"/>
            <w:rFonts w:ascii="Calibri" w:eastAsia="Calibri" w:hAnsi="Calibri" w:cs="Calibri"/>
            <w:i/>
          </w:rPr>
          <w:t>https://resources.cste.org/SARS-CoV-2-Occupational-Exposure-Matrix-Industry-Extension/</w:t>
        </w:r>
      </w:hyperlink>
      <w:r w:rsidR="4723448A" w:rsidRPr="68C2BFB3">
        <w:rPr>
          <w:rFonts w:ascii="Calibri" w:eastAsia="Calibri" w:hAnsi="Calibri" w:cs="Calibri"/>
          <w:i/>
        </w:rPr>
        <w:t xml:space="preserve">). </w:t>
      </w:r>
    </w:p>
    <w:p w14:paraId="33EFF9FB" w14:textId="36A5416A" w:rsidR="009D461A" w:rsidRPr="00E4571E" w:rsidRDefault="009D461A" w:rsidP="4723448A">
      <w:pPr>
        <w:jc w:val="center"/>
        <w:rPr>
          <w:i/>
          <w:iCs/>
        </w:rPr>
      </w:pPr>
    </w:p>
    <w:p w14:paraId="6D5E6C46" w14:textId="7B0C077D" w:rsidR="00EF5654" w:rsidRPr="0073095C" w:rsidRDefault="00EF5654" w:rsidP="00F434C3">
      <w:pPr>
        <w:pStyle w:val="Heading1"/>
      </w:pPr>
      <w:r w:rsidRPr="00E4571E">
        <w:t>Abstract</w:t>
      </w:r>
      <w:r w:rsidRPr="00A108AF">
        <w:t xml:space="preserve"> </w:t>
      </w:r>
    </w:p>
    <w:p w14:paraId="67CAAFB4" w14:textId="31B4377A" w:rsidR="00F51D29" w:rsidRDefault="00EF5654" w:rsidP="00EF5654">
      <w:pPr>
        <w:rPr>
          <w:rFonts w:cstheme="majorHAnsi"/>
        </w:rPr>
      </w:pPr>
      <w:r w:rsidRPr="00A108AF">
        <w:rPr>
          <w:rFonts w:cstheme="majorHAnsi"/>
          <w:color w:val="000000" w:themeColor="text1"/>
        </w:rPr>
        <w:t xml:space="preserve">Outbreaks of COVID-19 in a wide variety of U.S. workplaces highlight the workplace as a venue for disease transmission. A better understanding of which </w:t>
      </w:r>
      <w:r w:rsidR="00AB6D1B">
        <w:rPr>
          <w:rFonts w:cstheme="majorHAnsi"/>
          <w:color w:val="000000" w:themeColor="text1"/>
        </w:rPr>
        <w:t>occupations</w:t>
      </w:r>
      <w:r w:rsidRPr="00A108AF">
        <w:rPr>
          <w:rFonts w:cstheme="majorHAnsi"/>
          <w:color w:val="000000" w:themeColor="text1"/>
        </w:rPr>
        <w:t xml:space="preserve"> place workers at increased risk of exposure to SAR</w:t>
      </w:r>
      <w:r w:rsidR="004B05BE">
        <w:rPr>
          <w:rFonts w:cstheme="majorHAnsi"/>
          <w:color w:val="000000" w:themeColor="text1"/>
        </w:rPr>
        <w:t>S</w:t>
      </w:r>
      <w:r w:rsidRPr="00A108AF">
        <w:rPr>
          <w:rFonts w:cstheme="majorHAnsi"/>
          <w:color w:val="000000" w:themeColor="text1"/>
        </w:rPr>
        <w:t>-CoV-2 is essential to guide efforts to prevent the spread of COVID-19 in workplaces and protect workers and, in turn, the communities in which they work and live</w:t>
      </w:r>
      <w:r w:rsidRPr="00A108AF">
        <w:rPr>
          <w:rFonts w:cstheme="majorHAnsi"/>
          <w:i/>
          <w:color w:val="000000" w:themeColor="text1"/>
        </w:rPr>
        <w:t>.</w:t>
      </w:r>
      <w:r w:rsidRPr="00A108AF">
        <w:rPr>
          <w:rFonts w:cstheme="majorHAnsi"/>
          <w:color w:val="000000" w:themeColor="text1"/>
        </w:rPr>
        <w:t xml:space="preserve"> </w:t>
      </w:r>
      <w:r w:rsidRPr="00A108AF">
        <w:rPr>
          <w:rFonts w:cstheme="majorHAnsi"/>
        </w:rPr>
        <w:t>Discussions about which segments of the workforce to target for prevention have appropriately centered on “essential” workers. However</w:t>
      </w:r>
      <w:r w:rsidR="00FB73A7">
        <w:rPr>
          <w:rFonts w:cstheme="majorHAnsi"/>
        </w:rPr>
        <w:t>,</w:t>
      </w:r>
      <w:r w:rsidRPr="00A108AF">
        <w:rPr>
          <w:rFonts w:cstheme="majorHAnsi"/>
        </w:rPr>
        <w:t xml:space="preserve"> risk of exposure to SARS-CoV-2, as well as essentiality, needs to be </w:t>
      </w:r>
      <w:r w:rsidR="00F864D8">
        <w:rPr>
          <w:rFonts w:cstheme="majorHAnsi"/>
        </w:rPr>
        <w:t>considered</w:t>
      </w:r>
      <w:r w:rsidRPr="00A108AF">
        <w:rPr>
          <w:rFonts w:cstheme="majorHAnsi"/>
        </w:rPr>
        <w:t xml:space="preserve"> in prioritizing efforts to prevent transmission of COVID-19 in the workplace. </w:t>
      </w:r>
    </w:p>
    <w:p w14:paraId="1C5E103D" w14:textId="4DEA5463" w:rsidR="009D43F2" w:rsidRPr="00DA2DAF" w:rsidRDefault="00EF5654" w:rsidP="00EF5654">
      <w:pPr>
        <w:rPr>
          <w:rFonts w:cstheme="minorHAnsi"/>
          <w:i/>
        </w:rPr>
      </w:pPr>
      <w:r w:rsidRPr="00A108AF">
        <w:rPr>
          <w:rFonts w:cstheme="majorHAnsi"/>
        </w:rPr>
        <w:t xml:space="preserve">This </w:t>
      </w:r>
      <w:r w:rsidR="003B2D3C">
        <w:rPr>
          <w:rFonts w:cstheme="majorHAnsi"/>
        </w:rPr>
        <w:t>working paper</w:t>
      </w:r>
      <w:r w:rsidRPr="00A108AF">
        <w:rPr>
          <w:rFonts w:cstheme="majorHAnsi"/>
        </w:rPr>
        <w:t xml:space="preserve"> presents a risk-based approach to identifying </w:t>
      </w:r>
      <w:r w:rsidR="00AB6D1B">
        <w:rPr>
          <w:rFonts w:cstheme="majorHAnsi"/>
        </w:rPr>
        <w:t>occupations</w:t>
      </w:r>
      <w:r w:rsidRPr="00A108AF">
        <w:rPr>
          <w:rFonts w:cstheme="majorHAnsi"/>
        </w:rPr>
        <w:t xml:space="preserve"> in which workers </w:t>
      </w:r>
      <w:r w:rsidRPr="00A108AF">
        <w:rPr>
          <w:rFonts w:cstheme="majorHAnsi"/>
          <w:i/>
        </w:rPr>
        <w:t>when present in the workplace</w:t>
      </w:r>
      <w:r w:rsidRPr="00A108AF">
        <w:rPr>
          <w:rFonts w:cstheme="majorHAnsi"/>
        </w:rPr>
        <w:t xml:space="preserve"> are likely </w:t>
      </w:r>
      <w:r w:rsidR="003C33E1">
        <w:rPr>
          <w:rFonts w:cstheme="majorHAnsi"/>
        </w:rPr>
        <w:t xml:space="preserve">to be </w:t>
      </w:r>
      <w:r w:rsidRPr="00A108AF">
        <w:rPr>
          <w:rFonts w:cstheme="majorHAnsi"/>
        </w:rPr>
        <w:t>at increased risk of exposure to SAR</w:t>
      </w:r>
      <w:r w:rsidR="004B05BE">
        <w:rPr>
          <w:rFonts w:cstheme="majorHAnsi"/>
        </w:rPr>
        <w:t>S</w:t>
      </w:r>
      <w:r w:rsidRPr="00A108AF">
        <w:rPr>
          <w:rFonts w:cstheme="majorHAnsi"/>
        </w:rPr>
        <w:t xml:space="preserve">-CoV-2.  We provide a systematic approach to characterizing workplace exposure to SARS-Cov-2 </w:t>
      </w:r>
      <w:r w:rsidR="00AB6D1B">
        <w:rPr>
          <w:rFonts w:cstheme="majorHAnsi"/>
        </w:rPr>
        <w:t xml:space="preserve">in </w:t>
      </w:r>
      <w:r w:rsidR="00CD0FDC">
        <w:rPr>
          <w:rFonts w:cstheme="majorHAnsi"/>
        </w:rPr>
        <w:t>hundreds of</w:t>
      </w:r>
      <w:r w:rsidRPr="00A108AF">
        <w:rPr>
          <w:rFonts w:cstheme="majorHAnsi"/>
        </w:rPr>
        <w:t xml:space="preserve"> non-health care occupations using metrics from O*NET, a national database with information on occupational characteristics, together with input from experts in occupational safety and health. We focus on three factors identified as contributing to increased risk of exposure</w:t>
      </w:r>
      <w:r w:rsidR="007A6669">
        <w:rPr>
          <w:rFonts w:cstheme="majorHAnsi"/>
        </w:rPr>
        <w:t xml:space="preserve"> in the workplace</w:t>
      </w:r>
      <w:r w:rsidRPr="00A108AF">
        <w:rPr>
          <w:rFonts w:cstheme="majorHAnsi"/>
        </w:rPr>
        <w:t>: whether an occupation involves routine in-person interaction wit</w:t>
      </w:r>
      <w:r w:rsidRPr="00A108AF">
        <w:rPr>
          <w:rFonts w:cstheme="minorHAnsi"/>
        </w:rPr>
        <w:t>h the public (</w:t>
      </w:r>
      <w:r w:rsidRPr="00A108AF">
        <w:rPr>
          <w:rFonts w:cstheme="minorHAnsi"/>
          <w:i/>
        </w:rPr>
        <w:t>Public Facing</w:t>
      </w:r>
      <w:r w:rsidRPr="00A108AF">
        <w:rPr>
          <w:rFonts w:cstheme="minorHAnsi"/>
        </w:rPr>
        <w:t>), working indoors (</w:t>
      </w:r>
      <w:r w:rsidRPr="00A108AF">
        <w:rPr>
          <w:rFonts w:cstheme="minorHAnsi"/>
          <w:i/>
        </w:rPr>
        <w:t>Working Indoors</w:t>
      </w:r>
      <w:r w:rsidRPr="00A108AF">
        <w:rPr>
          <w:rFonts w:cstheme="minorHAnsi"/>
        </w:rPr>
        <w:t>), and working in close physical proximity to others, either co-workers or the public (</w:t>
      </w:r>
      <w:r w:rsidRPr="00A108AF">
        <w:rPr>
          <w:rFonts w:cstheme="minorHAnsi"/>
          <w:i/>
        </w:rPr>
        <w:t>Close Proximity</w:t>
      </w:r>
      <w:r w:rsidRPr="00A108AF">
        <w:rPr>
          <w:rFonts w:cstheme="minorHAnsi"/>
        </w:rPr>
        <w:t xml:space="preserve">).  In an earlier CSTE document, we used </w:t>
      </w:r>
      <w:r w:rsidR="00AB6D1B">
        <w:rPr>
          <w:rFonts w:cstheme="minorHAnsi"/>
        </w:rPr>
        <w:t xml:space="preserve">a similar </w:t>
      </w:r>
      <w:r w:rsidRPr="00A108AF">
        <w:rPr>
          <w:rFonts w:cstheme="minorHAnsi"/>
        </w:rPr>
        <w:t>approach to designa</w:t>
      </w:r>
      <w:r w:rsidR="00AB6D1B">
        <w:rPr>
          <w:rFonts w:cstheme="minorHAnsi"/>
        </w:rPr>
        <w:t>te</w:t>
      </w:r>
      <w:r w:rsidRPr="00A108AF">
        <w:rPr>
          <w:rFonts w:cstheme="minorHAnsi"/>
        </w:rPr>
        <w:t xml:space="preserve"> select occupations as Public Facing, providing information needed to apply the CSTE surveillance case definition for work-related COVID-19.  Here, we build on this work to develop ordinal measures of exposure related to </w:t>
      </w:r>
      <w:r w:rsidRPr="00A108AF">
        <w:rPr>
          <w:rFonts w:cstheme="minorHAnsi"/>
          <w:i/>
        </w:rPr>
        <w:t>Working Indoors</w:t>
      </w:r>
      <w:r w:rsidRPr="00A108AF">
        <w:rPr>
          <w:rFonts w:cstheme="minorHAnsi"/>
        </w:rPr>
        <w:t xml:space="preserve"> and working in </w:t>
      </w:r>
      <w:r w:rsidRPr="00A108AF">
        <w:rPr>
          <w:rFonts w:cstheme="minorHAnsi"/>
          <w:i/>
        </w:rPr>
        <w:t xml:space="preserve">Close Proximity. </w:t>
      </w:r>
    </w:p>
    <w:p w14:paraId="173FD76E" w14:textId="69C1112B" w:rsidR="00EF5654" w:rsidRPr="00DA2DAF" w:rsidRDefault="00EF5654" w:rsidP="00EF5654">
      <w:pPr>
        <w:rPr>
          <w:rFonts w:cstheme="minorHAnsi"/>
          <w:i/>
        </w:rPr>
      </w:pPr>
      <w:r w:rsidRPr="009D43F2">
        <w:rPr>
          <w:rFonts w:cstheme="minorHAnsi"/>
        </w:rPr>
        <w:t xml:space="preserve">For each occupation, information on the level of potential exposure (high to low) for each of the three risk factors, together with national workforce estimates, is included in an </w:t>
      </w:r>
      <w:r w:rsidR="002674F0" w:rsidRPr="009D43F2">
        <w:rPr>
          <w:rFonts w:cstheme="minorHAnsi"/>
        </w:rPr>
        <w:t xml:space="preserve">appended </w:t>
      </w:r>
      <w:r w:rsidRPr="009D43F2">
        <w:rPr>
          <w:rFonts w:cstheme="minorHAnsi"/>
        </w:rPr>
        <w:t>Excel file, hereafter referred to</w:t>
      </w:r>
      <w:r w:rsidRPr="00A108AF">
        <w:rPr>
          <w:rFonts w:cstheme="minorHAnsi"/>
        </w:rPr>
        <w:t xml:space="preserve"> as the </w:t>
      </w:r>
      <w:r w:rsidRPr="004F53A6">
        <w:rPr>
          <w:rFonts w:cstheme="minorHAnsi"/>
        </w:rPr>
        <w:t>S</w:t>
      </w:r>
      <w:r w:rsidR="004B05BE">
        <w:rPr>
          <w:rFonts w:cstheme="minorHAnsi"/>
        </w:rPr>
        <w:t>ARS</w:t>
      </w:r>
      <w:r w:rsidRPr="004F53A6">
        <w:rPr>
          <w:rFonts w:cstheme="minorHAnsi"/>
        </w:rPr>
        <w:t>-CoV</w:t>
      </w:r>
      <w:r w:rsidRPr="00A9238F">
        <w:rPr>
          <w:rFonts w:cstheme="minorHAnsi"/>
        </w:rPr>
        <w:t xml:space="preserve">-2 </w:t>
      </w:r>
      <w:r w:rsidR="00503B6E" w:rsidRPr="00A9238F">
        <w:rPr>
          <w:rFonts w:cstheme="minorHAnsi"/>
        </w:rPr>
        <w:t xml:space="preserve">Occupational </w:t>
      </w:r>
      <w:r w:rsidRPr="00A9238F">
        <w:rPr>
          <w:rFonts w:cstheme="minorHAnsi"/>
        </w:rPr>
        <w:t>Exposure</w:t>
      </w:r>
      <w:r w:rsidR="002674F0" w:rsidRPr="00A9238F">
        <w:rPr>
          <w:rFonts w:cstheme="minorHAnsi"/>
        </w:rPr>
        <w:t xml:space="preserve"> Matrix</w:t>
      </w:r>
      <w:r w:rsidRPr="00A9238F">
        <w:rPr>
          <w:rFonts w:cstheme="minorHAnsi"/>
        </w:rPr>
        <w:t xml:space="preserve"> (S</w:t>
      </w:r>
      <w:r w:rsidR="00503B6E" w:rsidRPr="00A9238F">
        <w:rPr>
          <w:rFonts w:cstheme="minorHAnsi"/>
        </w:rPr>
        <w:t>O</w:t>
      </w:r>
      <w:r w:rsidRPr="00A9238F">
        <w:rPr>
          <w:rFonts w:cstheme="minorHAnsi"/>
        </w:rPr>
        <w:t>E</w:t>
      </w:r>
      <w:r w:rsidR="002674F0" w:rsidRPr="00A9238F">
        <w:rPr>
          <w:rFonts w:cstheme="minorHAnsi"/>
        </w:rPr>
        <w:t>M</w:t>
      </w:r>
      <w:r w:rsidRPr="00A9238F">
        <w:rPr>
          <w:rFonts w:cstheme="minorHAnsi"/>
        </w:rPr>
        <w:t xml:space="preserve">), for use/adaptation by others. The </w:t>
      </w:r>
      <w:r w:rsidR="00E002E5" w:rsidRPr="00A9238F">
        <w:rPr>
          <w:rFonts w:cstheme="minorHAnsi"/>
        </w:rPr>
        <w:t xml:space="preserve">SOEM </w:t>
      </w:r>
      <w:r w:rsidRPr="00A9238F">
        <w:rPr>
          <w:rFonts w:cstheme="minorHAnsi"/>
        </w:rPr>
        <w:t xml:space="preserve">is intended for use by epidemiologists examining patterns of COVID-19 </w:t>
      </w:r>
      <w:r w:rsidR="00131847" w:rsidRPr="00A9238F">
        <w:rPr>
          <w:rFonts w:cstheme="minorHAnsi"/>
        </w:rPr>
        <w:t xml:space="preserve">cases and </w:t>
      </w:r>
      <w:r w:rsidR="005340FB" w:rsidRPr="00A9238F">
        <w:rPr>
          <w:rFonts w:cstheme="minorHAnsi"/>
        </w:rPr>
        <w:t>outbreaks</w:t>
      </w:r>
      <w:r w:rsidR="00131847" w:rsidRPr="00A9238F">
        <w:rPr>
          <w:rFonts w:cstheme="minorHAnsi"/>
        </w:rPr>
        <w:t xml:space="preserve"> </w:t>
      </w:r>
      <w:r w:rsidRPr="00A9238F">
        <w:rPr>
          <w:rFonts w:cstheme="minorHAnsi"/>
        </w:rPr>
        <w:t>to better understand the potential contribution of work to the COVID-19 burden overall and to observed racial and economic disparities in their states/jurisdictions.</w:t>
      </w:r>
      <w:r w:rsidR="001C1057" w:rsidRPr="00A9238F">
        <w:rPr>
          <w:rFonts w:cstheme="minorHAnsi"/>
        </w:rPr>
        <w:t xml:space="preserve"> </w:t>
      </w:r>
      <w:r w:rsidR="00CD20CC" w:rsidRPr="00A9238F">
        <w:rPr>
          <w:rFonts w:cstheme="minorHAnsi"/>
        </w:rPr>
        <w:t xml:space="preserve">It may also be useful to policy makers in setting priorities for allocating prevention resources based on potential risk of exposure to SARS-CoV-2 </w:t>
      </w:r>
      <w:r w:rsidR="00AB181E">
        <w:rPr>
          <w:rFonts w:cstheme="minorHAnsi"/>
        </w:rPr>
        <w:t xml:space="preserve">when present in the workplace </w:t>
      </w:r>
      <w:r w:rsidR="00CD20CC" w:rsidRPr="00A9238F">
        <w:rPr>
          <w:rFonts w:cstheme="minorHAnsi"/>
        </w:rPr>
        <w:t xml:space="preserve">in the absence of </w:t>
      </w:r>
      <w:r w:rsidR="001B153C" w:rsidRPr="00A9238F">
        <w:rPr>
          <w:rFonts w:cstheme="minorHAnsi"/>
        </w:rPr>
        <w:t>data</w:t>
      </w:r>
      <w:r w:rsidR="00CD20CC" w:rsidRPr="00A9238F">
        <w:rPr>
          <w:rFonts w:cstheme="minorHAnsi"/>
        </w:rPr>
        <w:t xml:space="preserve"> on employment of COVID-19 cases.</w:t>
      </w:r>
    </w:p>
    <w:p w14:paraId="37130638" w14:textId="2EBC9443" w:rsidR="00EF3929" w:rsidRDefault="00EF5654" w:rsidP="00EF5654">
      <w:pPr>
        <w:rPr>
          <w:rFonts w:cstheme="minorHAnsi"/>
        </w:rPr>
      </w:pPr>
      <w:r w:rsidRPr="00AA50B6">
        <w:rPr>
          <w:rFonts w:cstheme="minorHAnsi"/>
          <w:color w:val="000000" w:themeColor="text1"/>
        </w:rPr>
        <w:t xml:space="preserve">Section 1 of this document provides an overview of methods used to develop a measure of </w:t>
      </w:r>
      <w:r w:rsidRPr="005B5C66">
        <w:rPr>
          <w:rFonts w:cstheme="minorHAnsi"/>
          <w:color w:val="000000" w:themeColor="text1"/>
        </w:rPr>
        <w:t xml:space="preserve">exposure </w:t>
      </w:r>
      <w:r w:rsidR="003B2D3C">
        <w:rPr>
          <w:rFonts w:cstheme="minorHAnsi"/>
          <w:color w:val="000000" w:themeColor="text1"/>
        </w:rPr>
        <w:t>for e</w:t>
      </w:r>
      <w:r w:rsidRPr="00AA50B6">
        <w:rPr>
          <w:rFonts w:cstheme="minorHAnsi"/>
          <w:color w:val="000000" w:themeColor="text1"/>
        </w:rPr>
        <w:t xml:space="preserve">ach of the three risk factors. Section 2 presents an approach to combining information about all three risk factors into a single assessment of risk by occupation. </w:t>
      </w:r>
      <w:r w:rsidR="002674F0" w:rsidRPr="00AA50B6">
        <w:rPr>
          <w:rFonts w:cstheme="minorHAnsi"/>
          <w:color w:val="000000" w:themeColor="text1"/>
        </w:rPr>
        <w:t xml:space="preserve"> </w:t>
      </w:r>
      <w:r w:rsidRPr="00AA50B6">
        <w:rPr>
          <w:rFonts w:cstheme="minorHAnsi"/>
          <w:color w:val="000000" w:themeColor="text1"/>
        </w:rPr>
        <w:t xml:space="preserve">Section 3 discusses health equity considerations that also need to be </w:t>
      </w:r>
      <w:r w:rsidR="007A6669">
        <w:rPr>
          <w:rFonts w:cstheme="minorHAnsi"/>
          <w:color w:val="000000" w:themeColor="text1"/>
        </w:rPr>
        <w:t>taken into account</w:t>
      </w:r>
      <w:r w:rsidRPr="00AA50B6">
        <w:rPr>
          <w:rFonts w:cstheme="minorHAnsi"/>
          <w:color w:val="000000" w:themeColor="text1"/>
        </w:rPr>
        <w:t xml:space="preserve"> in prioritizing interventions, both exposure controls and vaccine distribution, to protect the working population.</w:t>
      </w:r>
      <w:r w:rsidRPr="00A108AF">
        <w:rPr>
          <w:rFonts w:cstheme="minorHAnsi"/>
        </w:rPr>
        <w:t xml:space="preserve"> </w:t>
      </w:r>
    </w:p>
    <w:p w14:paraId="26748AA5" w14:textId="6C7FAA95" w:rsidR="005A2C87" w:rsidRPr="00DA2DAF" w:rsidRDefault="00EF3929" w:rsidP="00DA2DAF">
      <w:pPr>
        <w:pStyle w:val="Heading2"/>
      </w:pPr>
      <w:r w:rsidRPr="00EF3929">
        <w:t>Appendices</w:t>
      </w:r>
    </w:p>
    <w:p w14:paraId="1EAC0050" w14:textId="2E5B9F34" w:rsidR="00EF5654" w:rsidRPr="00E002E5" w:rsidRDefault="00EF5654" w:rsidP="004F53A6">
      <w:pPr>
        <w:pStyle w:val="ListParagraph"/>
        <w:numPr>
          <w:ilvl w:val="0"/>
          <w:numId w:val="14"/>
        </w:numPr>
      </w:pPr>
      <w:r w:rsidRPr="00E002E5">
        <w:t xml:space="preserve">SARS-CoV-2 </w:t>
      </w:r>
      <w:r w:rsidR="00503B6E" w:rsidRPr="00E002E5">
        <w:t>Occupational</w:t>
      </w:r>
      <w:r w:rsidRPr="00E002E5">
        <w:t xml:space="preserve"> Exp</w:t>
      </w:r>
      <w:r w:rsidR="00DB56BB" w:rsidRPr="00E002E5">
        <w:t>o</w:t>
      </w:r>
      <w:r w:rsidRPr="00E002E5">
        <w:t xml:space="preserve">sure </w:t>
      </w:r>
      <w:r w:rsidR="002674F0" w:rsidRPr="00E002E5">
        <w:t>Matrix</w:t>
      </w:r>
      <w:r w:rsidRPr="00E002E5">
        <w:t xml:space="preserve"> </w:t>
      </w:r>
      <w:r w:rsidR="00E002E5" w:rsidRPr="00E002E5">
        <w:t>(SOEM)</w:t>
      </w:r>
      <w:r w:rsidR="007A6669">
        <w:t xml:space="preserve"> </w:t>
      </w:r>
      <w:r w:rsidRPr="00E002E5">
        <w:t>(Excel)</w:t>
      </w:r>
    </w:p>
    <w:p w14:paraId="36151A54" w14:textId="31842423" w:rsidR="004F53A6" w:rsidRDefault="001C1057" w:rsidP="004F53A6">
      <w:pPr>
        <w:pStyle w:val="ListParagraph"/>
        <w:numPr>
          <w:ilvl w:val="0"/>
          <w:numId w:val="14"/>
        </w:numPr>
      </w:pPr>
      <w:r>
        <w:t xml:space="preserve">Summary </w:t>
      </w:r>
      <w:r w:rsidR="009D43F2">
        <w:t>t</w:t>
      </w:r>
      <w:r>
        <w:t>ables by Census Occupation Classifications</w:t>
      </w:r>
      <w:r w:rsidR="00E60F8C">
        <w:t xml:space="preserve"> (2010 revision)</w:t>
      </w:r>
    </w:p>
    <w:p w14:paraId="117219E6" w14:textId="2C3A23D1" w:rsidR="001C1057" w:rsidRPr="00E002E5" w:rsidRDefault="001C1057" w:rsidP="004F53A6">
      <w:pPr>
        <w:pStyle w:val="ListParagraph"/>
        <w:numPr>
          <w:ilvl w:val="0"/>
          <w:numId w:val="14"/>
        </w:numPr>
      </w:pPr>
      <w:r>
        <w:t>Technical documentation</w:t>
      </w:r>
    </w:p>
    <w:p w14:paraId="624A1B41" w14:textId="00F477BE" w:rsidR="00CC408A" w:rsidRPr="00CC408A" w:rsidRDefault="004F53A6" w:rsidP="00F91E5E">
      <w:pPr>
        <w:pStyle w:val="ListParagraph"/>
        <w:numPr>
          <w:ilvl w:val="0"/>
          <w:numId w:val="14"/>
        </w:numPr>
        <w:rPr>
          <w:b/>
        </w:rPr>
      </w:pPr>
      <w:r w:rsidRPr="00E002E5">
        <w:rPr>
          <w:rFonts w:cstheme="minorHAnsi"/>
        </w:rPr>
        <w:t>Master file</w:t>
      </w:r>
      <w:r w:rsidR="00773257">
        <w:rPr>
          <w:rFonts w:cstheme="minorHAnsi"/>
        </w:rPr>
        <w:t xml:space="preserve">s </w:t>
      </w:r>
      <w:r w:rsidR="004F52FC">
        <w:rPr>
          <w:rFonts w:cstheme="minorHAnsi"/>
        </w:rPr>
        <w:t xml:space="preserve">for </w:t>
      </w:r>
      <w:r w:rsidR="00773257">
        <w:t xml:space="preserve">all </w:t>
      </w:r>
      <w:r w:rsidR="004F52FC">
        <w:t xml:space="preserve">three </w:t>
      </w:r>
      <w:r w:rsidR="00773257">
        <w:t xml:space="preserve">risk factors </w:t>
      </w:r>
      <w:r w:rsidR="00CC408A">
        <w:t>(Excel)</w:t>
      </w:r>
    </w:p>
    <w:p w14:paraId="54CE41F8" w14:textId="38D390B3" w:rsidR="00F91E5E" w:rsidRPr="00DA2DAF" w:rsidRDefault="008A780E" w:rsidP="0070402D">
      <w:pPr>
        <w:pStyle w:val="ListParagraph"/>
        <w:numPr>
          <w:ilvl w:val="0"/>
          <w:numId w:val="14"/>
        </w:numPr>
      </w:pPr>
      <w:r w:rsidRPr="00E002E5">
        <w:t>Sources of employment data at the state and local level</w:t>
      </w:r>
      <w:r w:rsidR="009D43F2">
        <w:t>s</w:t>
      </w:r>
      <w:r w:rsidR="00917072" w:rsidRPr="0073095C">
        <w:rPr>
          <w:rFonts w:cstheme="minorHAnsi"/>
        </w:rPr>
        <w:t xml:space="preserve"> </w:t>
      </w:r>
    </w:p>
    <w:p w14:paraId="323F3C0A" w14:textId="42B90E23" w:rsidR="00C368C5" w:rsidRDefault="00464398" w:rsidP="00DA2DAF">
      <w:pPr>
        <w:pStyle w:val="Heading1"/>
      </w:pPr>
      <w:r w:rsidRPr="005F4CC4">
        <w:t>Statement</w:t>
      </w:r>
      <w:r w:rsidR="007F5CD1" w:rsidRPr="005F4CC4">
        <w:t xml:space="preserve"> </w:t>
      </w:r>
      <w:r w:rsidRPr="005F4CC4">
        <w:t>of the Problem</w:t>
      </w:r>
    </w:p>
    <w:p w14:paraId="029D04FA" w14:textId="62AA653C" w:rsidR="004A222E" w:rsidRPr="00DA2DAF" w:rsidRDefault="004A222E" w:rsidP="00DA2DAF">
      <w:pPr>
        <w:tabs>
          <w:tab w:val="left" w:pos="6480"/>
        </w:tabs>
        <w:rPr>
          <w:rFonts w:cstheme="majorHAnsi"/>
          <w:color w:val="000000" w:themeColor="text1"/>
          <w:vertAlign w:val="superscript"/>
        </w:rPr>
      </w:pPr>
      <w:r w:rsidRPr="005F4CC4">
        <w:rPr>
          <w:rFonts w:cstheme="majorHAnsi"/>
          <w:color w:val="000000" w:themeColor="text1"/>
        </w:rPr>
        <w:t>Outbreaks of COVID-19 in a wide variety of U</w:t>
      </w:r>
      <w:r w:rsidR="00652E5F">
        <w:rPr>
          <w:rFonts w:cstheme="majorHAnsi"/>
          <w:color w:val="000000" w:themeColor="text1"/>
        </w:rPr>
        <w:t>.</w:t>
      </w:r>
      <w:r w:rsidRPr="005F4CC4">
        <w:rPr>
          <w:rFonts w:cstheme="majorHAnsi"/>
          <w:color w:val="000000" w:themeColor="text1"/>
        </w:rPr>
        <w:t>S</w:t>
      </w:r>
      <w:r w:rsidR="00652E5F">
        <w:rPr>
          <w:rFonts w:cstheme="majorHAnsi"/>
          <w:color w:val="000000" w:themeColor="text1"/>
        </w:rPr>
        <w:t>.</w:t>
      </w:r>
      <w:r w:rsidRPr="005F4CC4">
        <w:rPr>
          <w:rFonts w:cstheme="majorHAnsi"/>
          <w:color w:val="000000" w:themeColor="text1"/>
        </w:rPr>
        <w:t xml:space="preserve"> workplaces highlight the workplace </w:t>
      </w:r>
      <w:r w:rsidRPr="00C5150C">
        <w:rPr>
          <w:rFonts w:cstheme="majorHAnsi"/>
          <w:color w:val="000000" w:themeColor="text1"/>
        </w:rPr>
        <w:t>as</w:t>
      </w:r>
      <w:r w:rsidR="00743AE2" w:rsidRPr="00C5150C">
        <w:rPr>
          <w:rFonts w:cstheme="majorHAnsi"/>
          <w:color w:val="000000" w:themeColor="text1"/>
        </w:rPr>
        <w:t xml:space="preserve"> a</w:t>
      </w:r>
      <w:r w:rsidR="00C5150C" w:rsidRPr="00C5150C">
        <w:rPr>
          <w:rFonts w:cstheme="majorHAnsi"/>
          <w:color w:val="000000" w:themeColor="text1"/>
        </w:rPr>
        <w:t xml:space="preserve"> </w:t>
      </w:r>
      <w:r w:rsidR="00445985" w:rsidRPr="00C5150C">
        <w:rPr>
          <w:rFonts w:cstheme="majorHAnsi"/>
          <w:color w:val="000000" w:themeColor="text1"/>
        </w:rPr>
        <w:t>v</w:t>
      </w:r>
      <w:r w:rsidRPr="00C5150C">
        <w:rPr>
          <w:rFonts w:cstheme="majorHAnsi"/>
          <w:color w:val="000000" w:themeColor="text1"/>
        </w:rPr>
        <w:t>enue for disease transmission.</w:t>
      </w:r>
      <w:r w:rsidR="00BC1F7E">
        <w:rPr>
          <w:rFonts w:cstheme="majorHAnsi"/>
          <w:color w:val="000000" w:themeColor="text1"/>
        </w:rPr>
        <w:fldChar w:fldCharType="begin">
          <w:fldData xml:space="preserve">PEVuZE5vdGU+PENpdGU+PEF1dGhvcj5CdWk8L0F1dGhvcj48WWVhcj4yMDIwPC9ZZWFyPjxSZWNO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</w:fldData>
        </w:fldChar>
      </w:r>
      <w:r w:rsidR="0002319C">
        <w:rPr>
          <w:rFonts w:cstheme="majorHAnsi"/>
          <w:color w:val="000000" w:themeColor="text1"/>
        </w:rPr>
        <w:instrText xml:space="preserve"> ADDIN EN.CITE </w:instrText>
      </w:r>
      <w:r w:rsidR="0002319C">
        <w:rPr>
          <w:rFonts w:cstheme="majorHAnsi"/>
          <w:color w:val="000000" w:themeColor="text1"/>
        </w:rPr>
        <w:fldChar w:fldCharType="begin">
          <w:fldData xml:space="preserve">PEVuZE5vdGU+PENpdGU+PEF1dGhvcj5CdWk8L0F1dGhvcj48WWVhcj4yMDIwPC9ZZWFyPjxSZWNO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</w:fldData>
        </w:fldChar>
      </w:r>
      <w:r w:rsidR="0002319C">
        <w:rPr>
          <w:rFonts w:cstheme="majorHAnsi"/>
          <w:color w:val="000000" w:themeColor="text1"/>
        </w:rPr>
        <w:instrText xml:space="preserve"> ADDIN EN.CITE.DATA </w:instrText>
      </w:r>
      <w:r w:rsidR="0002319C">
        <w:rPr>
          <w:rFonts w:cstheme="majorHAnsi"/>
          <w:color w:val="000000" w:themeColor="text1"/>
        </w:rPr>
      </w:r>
      <w:r w:rsidR="0002319C">
        <w:rPr>
          <w:rFonts w:cstheme="majorHAnsi"/>
          <w:color w:val="000000" w:themeColor="text1"/>
        </w:rPr>
        <w:fldChar w:fldCharType="end"/>
      </w:r>
      <w:r w:rsidR="00BC1F7E">
        <w:rPr>
          <w:rFonts w:cstheme="majorHAnsi"/>
          <w:color w:val="000000" w:themeColor="text1"/>
        </w:rPr>
      </w:r>
      <w:r w:rsidR="00BC1F7E">
        <w:rPr>
          <w:rFonts w:cstheme="majorHAnsi"/>
          <w:color w:val="000000" w:themeColor="text1"/>
        </w:rPr>
        <w:fldChar w:fldCharType="separate"/>
      </w:r>
      <w:r w:rsidR="0002319C">
        <w:rPr>
          <w:rFonts w:cstheme="majorHAnsi"/>
          <w:noProof/>
          <w:color w:val="000000" w:themeColor="text1"/>
        </w:rPr>
        <w:t>[1-3]</w:t>
      </w:r>
      <w:r w:rsidR="00BC1F7E">
        <w:rPr>
          <w:rFonts w:cstheme="majorHAnsi"/>
          <w:color w:val="000000" w:themeColor="text1"/>
        </w:rPr>
        <w:fldChar w:fldCharType="end"/>
      </w:r>
      <w:r w:rsidR="0055620B" w:rsidDel="0055620B">
        <w:rPr>
          <w:rStyle w:val="EndnoteReference"/>
          <w:rFonts w:cstheme="majorHAnsi"/>
          <w:color w:val="000000" w:themeColor="text1"/>
        </w:rPr>
        <w:t xml:space="preserve"> </w:t>
      </w:r>
      <w:r w:rsidRPr="00C5150C">
        <w:rPr>
          <w:rFonts w:cstheme="majorHAnsi"/>
          <w:color w:val="000000" w:themeColor="text1"/>
        </w:rPr>
        <w:t xml:space="preserve">A better understanding of which </w:t>
      </w:r>
      <w:r w:rsidR="00AB6D1B">
        <w:rPr>
          <w:rFonts w:cstheme="majorHAnsi"/>
          <w:color w:val="000000" w:themeColor="text1"/>
        </w:rPr>
        <w:t>occupations</w:t>
      </w:r>
      <w:r w:rsidRPr="00C5150C">
        <w:rPr>
          <w:rFonts w:cstheme="majorHAnsi"/>
          <w:color w:val="000000" w:themeColor="text1"/>
        </w:rPr>
        <w:t xml:space="preserve"> place workers at </w:t>
      </w:r>
      <w:r w:rsidR="001D231E" w:rsidRPr="00C5150C">
        <w:rPr>
          <w:rFonts w:cstheme="majorHAnsi"/>
          <w:color w:val="000000" w:themeColor="text1"/>
        </w:rPr>
        <w:t>increased</w:t>
      </w:r>
      <w:r w:rsidRPr="00C5150C">
        <w:rPr>
          <w:rFonts w:cstheme="majorHAnsi"/>
          <w:color w:val="000000" w:themeColor="text1"/>
        </w:rPr>
        <w:t xml:space="preserve"> risk of</w:t>
      </w:r>
      <w:r w:rsidRPr="005F4CC4">
        <w:rPr>
          <w:rFonts w:cstheme="majorHAnsi"/>
          <w:color w:val="000000" w:themeColor="text1"/>
        </w:rPr>
        <w:t xml:space="preserve"> exposure to SAR</w:t>
      </w:r>
      <w:r w:rsidR="004B05BE">
        <w:rPr>
          <w:rFonts w:cstheme="majorHAnsi"/>
          <w:color w:val="000000" w:themeColor="text1"/>
        </w:rPr>
        <w:t>S</w:t>
      </w:r>
      <w:r w:rsidRPr="005F4CC4">
        <w:rPr>
          <w:rFonts w:cstheme="majorHAnsi"/>
          <w:color w:val="000000" w:themeColor="text1"/>
        </w:rPr>
        <w:t>-CoV-2 is essential to guide efforts to prevent the spread of COVID-19 in workplaces and protect workers and, in turn, the communities in which they work and live</w:t>
      </w:r>
      <w:r w:rsidRPr="00C5150C">
        <w:rPr>
          <w:rFonts w:cstheme="majorHAnsi"/>
          <w:i/>
          <w:color w:val="000000" w:themeColor="text1"/>
        </w:rPr>
        <w:t xml:space="preserve">.  </w:t>
      </w:r>
      <w:r w:rsidR="00D761B6" w:rsidRPr="00C5150C">
        <w:rPr>
          <w:rFonts w:cstheme="majorHAnsi"/>
          <w:color w:val="000000" w:themeColor="text1"/>
        </w:rPr>
        <w:t xml:space="preserve">This knowledge </w:t>
      </w:r>
      <w:r w:rsidR="00CE61BD">
        <w:rPr>
          <w:rFonts w:cstheme="majorHAnsi"/>
          <w:color w:val="000000" w:themeColor="text1"/>
        </w:rPr>
        <w:t xml:space="preserve">can be useful in developing priorities for </w:t>
      </w:r>
      <w:r w:rsidR="00D761B6" w:rsidRPr="00C5150C">
        <w:rPr>
          <w:rFonts w:cstheme="majorHAnsi"/>
          <w:color w:val="000000" w:themeColor="text1"/>
        </w:rPr>
        <w:t>workplace interventions to reduce exposure a</w:t>
      </w:r>
      <w:r w:rsidR="00CE61BD">
        <w:rPr>
          <w:rFonts w:cstheme="majorHAnsi"/>
          <w:color w:val="000000" w:themeColor="text1"/>
        </w:rPr>
        <w:t xml:space="preserve">s well as </w:t>
      </w:r>
      <w:r w:rsidR="00D761B6" w:rsidRPr="00C5150C">
        <w:rPr>
          <w:rFonts w:cstheme="majorHAnsi"/>
          <w:color w:val="000000" w:themeColor="text1"/>
        </w:rPr>
        <w:t>vaccination schedules</w:t>
      </w:r>
      <w:r w:rsidR="00D761B6" w:rsidRPr="00675F3A">
        <w:rPr>
          <w:rFonts w:cstheme="majorHAnsi"/>
          <w:color w:val="000000" w:themeColor="text1"/>
        </w:rPr>
        <w:t xml:space="preserve">. </w:t>
      </w:r>
      <w:r w:rsidR="00DB746E" w:rsidRPr="00675F3A">
        <w:rPr>
          <w:rFonts w:cstheme="majorHAnsi"/>
          <w:color w:val="000000" w:themeColor="text1"/>
        </w:rPr>
        <w:t xml:space="preserve">Given </w:t>
      </w:r>
      <w:r w:rsidR="00002345" w:rsidRPr="00675F3A">
        <w:rPr>
          <w:rFonts w:cstheme="majorHAnsi"/>
          <w:color w:val="000000" w:themeColor="text1"/>
        </w:rPr>
        <w:t xml:space="preserve">that people of color </w:t>
      </w:r>
      <w:r w:rsidR="00C94497" w:rsidRPr="00675F3A">
        <w:rPr>
          <w:rFonts w:cstheme="majorHAnsi"/>
          <w:color w:val="000000" w:themeColor="text1"/>
        </w:rPr>
        <w:t xml:space="preserve">are disproportionately employed in </w:t>
      </w:r>
      <w:r w:rsidR="001D231E" w:rsidRPr="00675F3A">
        <w:rPr>
          <w:rFonts w:cstheme="majorHAnsi"/>
          <w:color w:val="000000" w:themeColor="text1"/>
        </w:rPr>
        <w:t xml:space="preserve">service and manufacturing </w:t>
      </w:r>
      <w:r w:rsidR="00CE61BD" w:rsidRPr="00675F3A">
        <w:rPr>
          <w:rFonts w:cstheme="majorHAnsi"/>
          <w:color w:val="000000" w:themeColor="text1"/>
        </w:rPr>
        <w:t>occupations</w:t>
      </w:r>
      <w:r w:rsidR="001D231E" w:rsidRPr="00675F3A">
        <w:rPr>
          <w:rFonts w:cstheme="majorHAnsi"/>
          <w:color w:val="000000" w:themeColor="text1"/>
        </w:rPr>
        <w:t xml:space="preserve">, which unlike many professional jobs, cannot be conducted from home, </w:t>
      </w:r>
      <w:r w:rsidR="00DB746E" w:rsidRPr="00675F3A">
        <w:rPr>
          <w:rFonts w:cstheme="majorHAnsi"/>
          <w:color w:val="000000" w:themeColor="text1"/>
        </w:rPr>
        <w:t>t</w:t>
      </w:r>
      <w:r w:rsidR="00427643" w:rsidRPr="00675F3A">
        <w:rPr>
          <w:rFonts w:cstheme="majorHAnsi"/>
          <w:color w:val="000000" w:themeColor="text1"/>
        </w:rPr>
        <w:t>his infor</w:t>
      </w:r>
      <w:r w:rsidR="00DB746E" w:rsidRPr="00675F3A">
        <w:rPr>
          <w:rFonts w:cstheme="majorHAnsi"/>
          <w:color w:val="000000" w:themeColor="text1"/>
        </w:rPr>
        <w:t>ma</w:t>
      </w:r>
      <w:r w:rsidR="00427643" w:rsidRPr="00675F3A">
        <w:rPr>
          <w:rFonts w:cstheme="majorHAnsi"/>
          <w:color w:val="000000" w:themeColor="text1"/>
        </w:rPr>
        <w:t xml:space="preserve">tion is also </w:t>
      </w:r>
      <w:r w:rsidR="00321C1E" w:rsidRPr="00675F3A">
        <w:rPr>
          <w:rFonts w:cstheme="majorHAnsi"/>
          <w:color w:val="000000" w:themeColor="text1"/>
        </w:rPr>
        <w:t>critical</w:t>
      </w:r>
      <w:r w:rsidR="00427643" w:rsidRPr="00675F3A">
        <w:rPr>
          <w:rFonts w:cstheme="majorHAnsi"/>
          <w:color w:val="000000" w:themeColor="text1"/>
        </w:rPr>
        <w:t xml:space="preserve"> to </w:t>
      </w:r>
      <w:r w:rsidR="00DC02F5" w:rsidRPr="00675F3A">
        <w:rPr>
          <w:rFonts w:cstheme="majorHAnsi"/>
          <w:color w:val="000000" w:themeColor="text1"/>
        </w:rPr>
        <w:t>reduc</w:t>
      </w:r>
      <w:r w:rsidR="00321C1E" w:rsidRPr="00675F3A">
        <w:rPr>
          <w:rFonts w:cstheme="majorHAnsi"/>
          <w:color w:val="000000" w:themeColor="text1"/>
        </w:rPr>
        <w:t>ing</w:t>
      </w:r>
      <w:r w:rsidR="00427643" w:rsidRPr="00675F3A">
        <w:rPr>
          <w:rFonts w:cstheme="majorHAnsi"/>
          <w:color w:val="000000" w:themeColor="text1"/>
        </w:rPr>
        <w:t xml:space="preserve"> health inequities</w:t>
      </w:r>
      <w:r w:rsidR="00E401E6" w:rsidRPr="00675F3A">
        <w:rPr>
          <w:rFonts w:cstheme="majorHAnsi"/>
          <w:color w:val="000000" w:themeColor="text1"/>
        </w:rPr>
        <w:t>.</w:t>
      </w:r>
      <w:r w:rsidR="00AD7F33" w:rsidRPr="00675F3A">
        <w:rPr>
          <w:rFonts w:cstheme="majorHAnsi"/>
          <w:color w:val="000000" w:themeColor="text1"/>
        </w:rPr>
        <w:fldChar w:fldCharType="begin"/>
      </w:r>
      <w:r w:rsidR="0002319C" w:rsidRPr="00675F3A">
        <w:rPr>
          <w:rFonts w:cstheme="majorHAnsi"/>
          <w:color w:val="000000" w:themeColor="text1"/>
        </w:rPr>
        <w:instrText xml:space="preserve"> ADDIN EN.CITE &lt;EndNote&gt;&lt;Cite&gt;&lt;Author&gt;Dubay&lt;/Author&gt;&lt;Year&gt;2020&lt;/Year&gt;&lt;RecNum&gt;4&lt;/RecNum&gt;&lt;DisplayText&gt;[4]&lt;/DisplayText&gt;&lt;record&gt;&lt;rec-number&gt;4&lt;/rec-number&gt;&lt;foreign-keys&gt;&lt;key app="EN" db-id="fev0zvzp3deftke0v2250x5xfrd59szftaet" timestamp="1613243420"&gt;4&lt;/key&gt;&lt;/foreign-keys&gt;&lt;ref-type name="Journal Article"&gt;17&lt;/ref-type&gt;&lt;contributors&gt;&lt;authors&gt;&lt;author&gt;Dubay, Lisa&lt;/author&gt;&lt;author&gt;Aarons, Joshua&lt;/author&gt;&lt;author&gt;Brown, K Steven&lt;/author&gt;&lt;author&gt;Kenney, Genevieve M&lt;/author&gt;&lt;/authors&gt;&lt;/contributors&gt;&lt;titles&gt;&lt;title&gt;How Risk of Exposure to the Coronavirus at Work Varies by Race and Ethnicity and How to Protect the Health and Well-Being of Workers and Their Families&lt;/title&gt;&lt;/titles&gt;&lt;dates&gt;&lt;year&gt;2020&lt;/year&gt;&lt;/dates&gt;&lt;urls&gt;&lt;/urls&gt;&lt;/record&gt;&lt;/Cite&gt;&lt;/EndNote&gt;</w:instrText>
      </w:r>
      <w:r w:rsidR="00AD7F33" w:rsidRPr="00675F3A">
        <w:rPr>
          <w:rFonts w:cstheme="majorHAnsi"/>
          <w:color w:val="000000" w:themeColor="text1"/>
        </w:rPr>
        <w:fldChar w:fldCharType="separate"/>
      </w:r>
      <w:r w:rsidR="0002319C" w:rsidRPr="00675F3A">
        <w:rPr>
          <w:rFonts w:cstheme="majorHAnsi"/>
          <w:noProof/>
          <w:color w:val="000000" w:themeColor="text1"/>
        </w:rPr>
        <w:t>[4]</w:t>
      </w:r>
      <w:r w:rsidR="00AD7F33" w:rsidRPr="00675F3A">
        <w:rPr>
          <w:rFonts w:cstheme="majorHAnsi"/>
          <w:color w:val="000000" w:themeColor="text1"/>
        </w:rPr>
        <w:fldChar w:fldCharType="end"/>
      </w:r>
      <w:r w:rsidR="00246961">
        <w:rPr>
          <w:rFonts w:cstheme="majorHAnsi"/>
          <w:color w:val="000000" w:themeColor="text1"/>
        </w:rPr>
        <w:t xml:space="preserve">  </w:t>
      </w:r>
      <w:r w:rsidRPr="00675F3A">
        <w:rPr>
          <w:rFonts w:cstheme="majorHAnsi"/>
        </w:rPr>
        <w:t xml:space="preserve">Discussions about which segments of the workforce to target </w:t>
      </w:r>
      <w:r w:rsidR="00743D93" w:rsidRPr="00675F3A">
        <w:rPr>
          <w:rFonts w:cstheme="majorHAnsi"/>
        </w:rPr>
        <w:t xml:space="preserve">for prevention </w:t>
      </w:r>
      <w:r w:rsidRPr="00675F3A">
        <w:rPr>
          <w:rFonts w:cstheme="majorHAnsi"/>
        </w:rPr>
        <w:t>have appropriately centered</w:t>
      </w:r>
      <w:r w:rsidRPr="00C5150C">
        <w:rPr>
          <w:rFonts w:cstheme="majorHAnsi"/>
        </w:rPr>
        <w:t xml:space="preserve"> on “essentia</w:t>
      </w:r>
      <w:r w:rsidR="00E401E6" w:rsidRPr="00C5150C">
        <w:rPr>
          <w:rFonts w:cstheme="majorHAnsi"/>
        </w:rPr>
        <w:t>l</w:t>
      </w:r>
      <w:r w:rsidRPr="00C5150C">
        <w:rPr>
          <w:rFonts w:cstheme="majorHAnsi"/>
        </w:rPr>
        <w:t xml:space="preserve"> workers</w:t>
      </w:r>
      <w:r w:rsidR="006E29F4">
        <w:rPr>
          <w:rFonts w:cstheme="majorHAnsi"/>
        </w:rPr>
        <w:t>.</w:t>
      </w:r>
      <w:r w:rsidR="0025368A">
        <w:rPr>
          <w:rFonts w:cstheme="majorHAnsi"/>
        </w:rPr>
        <w:t>”</w:t>
      </w:r>
      <w:r w:rsidR="00382A25">
        <w:rPr>
          <w:rFonts w:cstheme="majorHAnsi"/>
        </w:rPr>
        <w:fldChar w:fldCharType="begin"/>
      </w:r>
      <w:r w:rsidR="0002319C">
        <w:rPr>
          <w:rFonts w:cstheme="majorHAnsi"/>
        </w:rPr>
        <w:instrText xml:space="preserve"> ADDIN EN.CITE &lt;EndNote&gt;&lt;Cite&gt;&lt;Author&gt;U.S. Department of Homeland Security’s Cybersecurity and Infrastructure Security Agency’s (CISA)&lt;/Author&gt;&lt;Year&gt;2020&lt;/Year&gt;&lt;RecNum&gt;6&lt;/RecNum&gt;&lt;DisplayText&gt;[5]&lt;/DisplayText&gt;&lt;record&gt;&lt;rec-number&gt;6&lt;/rec-number&gt;&lt;foreign-keys&gt;&lt;key app="EN" db-id="fev0zvzp3deftke0v2250x5xfrd59szftaet" timestamp="1613243916"&gt;6&lt;/key&gt;&lt;/foreign-keys&gt;&lt;ref-type name="Report"&gt;27&lt;/ref-type&gt;&lt;contributors&gt;&lt;authors&gt;&lt;author&gt;U.S. Department of Homeland Security’s Cybersecurity and Infrastructure Security Agency’s (CISA),&lt;/author&gt;&lt;/authors&gt;&lt;/contributors&gt;&lt;titles&gt;&lt;title&gt;Guidance on the Essential Critical Infrastructure Workforce (Version 4, August 2020)&lt;/title&gt;&lt;/titles&gt;&lt;dates&gt;&lt;year&gt;2020&lt;/year&gt;&lt;/dates&gt;&lt;publisher&gt;U.S. Department of Homeland Security’s Cybersecurity and Infrastructure Security Agency&lt;/publisher&gt;&lt;urls&gt;&lt;related-urls&gt;&lt;url&gt;https://www.cisa.gov/sites/default/files/publications/ECIW_4.0_Guidance_on_Essential_Critical_Infrastructure_Workers_Final3_508_0.pdf&lt;/url&gt;&lt;/related-urls&gt;&lt;/urls&gt;&lt;/record&gt;&lt;/Cite&gt;&lt;/EndNote&gt;</w:instrText>
      </w:r>
      <w:r w:rsidR="00382A25">
        <w:rPr>
          <w:rFonts w:cstheme="majorHAnsi"/>
        </w:rPr>
        <w:fldChar w:fldCharType="separate"/>
      </w:r>
      <w:r w:rsidR="0002319C">
        <w:rPr>
          <w:rFonts w:cstheme="majorHAnsi"/>
          <w:noProof/>
        </w:rPr>
        <w:t>[5]</w:t>
      </w:r>
      <w:r w:rsidR="00382A25">
        <w:rPr>
          <w:rFonts w:cstheme="majorHAnsi"/>
        </w:rPr>
        <w:fldChar w:fldCharType="end"/>
      </w:r>
      <w:r w:rsidR="0055620B">
        <w:rPr>
          <w:rFonts w:cstheme="majorHAnsi"/>
        </w:rPr>
        <w:t xml:space="preserve">  </w:t>
      </w:r>
      <w:r w:rsidRPr="00C5150C">
        <w:rPr>
          <w:rFonts w:cstheme="majorHAnsi"/>
        </w:rPr>
        <w:t>A universal operational definition</w:t>
      </w:r>
      <w:r w:rsidRPr="005F4CC4">
        <w:rPr>
          <w:rFonts w:cstheme="majorHAnsi"/>
        </w:rPr>
        <w:t xml:space="preserve"> of “essential workers</w:t>
      </w:r>
      <w:r w:rsidR="006E29F4">
        <w:rPr>
          <w:rFonts w:cstheme="majorHAnsi"/>
        </w:rPr>
        <w:t>,</w:t>
      </w:r>
      <w:r w:rsidRPr="005F4CC4">
        <w:rPr>
          <w:rFonts w:cstheme="majorHAnsi"/>
        </w:rPr>
        <w:t xml:space="preserve">” however, has proved elusive as the </w:t>
      </w:r>
      <w:r w:rsidR="008A780E">
        <w:rPr>
          <w:rFonts w:cstheme="majorHAnsi"/>
        </w:rPr>
        <w:t>definition</w:t>
      </w:r>
      <w:r w:rsidRPr="005F4CC4">
        <w:rPr>
          <w:rFonts w:cstheme="majorHAnsi"/>
        </w:rPr>
        <w:t xml:space="preserve"> of critical infrastructure workforce is complex, varies by state and has effectively changed over time under gradual, phased re-openings of the economy</w:t>
      </w:r>
      <w:r w:rsidR="00652E5F">
        <w:rPr>
          <w:rFonts w:cstheme="majorHAnsi"/>
        </w:rPr>
        <w:t>.</w:t>
      </w:r>
      <w:r w:rsidR="00923E12">
        <w:rPr>
          <w:rFonts w:cstheme="majorHAnsi"/>
        </w:rPr>
        <w:t xml:space="preserve"> </w:t>
      </w:r>
      <w:r w:rsidR="003C33E1">
        <w:rPr>
          <w:rFonts w:cstheme="majorHAnsi"/>
        </w:rPr>
        <w:t xml:space="preserve"> </w:t>
      </w:r>
      <w:r w:rsidR="00652E5F">
        <w:rPr>
          <w:rFonts w:cstheme="majorHAnsi"/>
        </w:rPr>
        <w:t>Official essential</w:t>
      </w:r>
      <w:r w:rsidR="00482C50" w:rsidRPr="005F4CC4">
        <w:rPr>
          <w:rFonts w:cstheme="majorHAnsi"/>
        </w:rPr>
        <w:t xml:space="preserve"> work</w:t>
      </w:r>
      <w:r w:rsidR="008A780E">
        <w:rPr>
          <w:rFonts w:cstheme="majorHAnsi"/>
        </w:rPr>
        <w:t>force</w:t>
      </w:r>
      <w:r w:rsidR="00482C50" w:rsidRPr="005F4CC4">
        <w:rPr>
          <w:rFonts w:cstheme="majorHAnsi"/>
        </w:rPr>
        <w:t xml:space="preserve"> lists </w:t>
      </w:r>
      <w:r w:rsidR="00482C50" w:rsidRPr="0027640C">
        <w:rPr>
          <w:rFonts w:cstheme="majorHAnsi"/>
        </w:rPr>
        <w:t>are also very expansive,</w:t>
      </w:r>
      <w:r w:rsidRPr="0027640C">
        <w:rPr>
          <w:rFonts w:cstheme="majorHAnsi"/>
        </w:rPr>
        <w:t xml:space="preserve"> limiting the usefulness of this concept in defining priority worker populations</w:t>
      </w:r>
      <w:r w:rsidR="003C33E1">
        <w:rPr>
          <w:rFonts w:cstheme="majorHAnsi"/>
        </w:rPr>
        <w:t xml:space="preserve">.  </w:t>
      </w:r>
      <w:r w:rsidR="00747BFF" w:rsidRPr="0027640C">
        <w:rPr>
          <w:rFonts w:cstheme="majorHAnsi"/>
        </w:rPr>
        <w:t xml:space="preserve">Certainly, </w:t>
      </w:r>
      <w:r w:rsidRPr="0027640C">
        <w:rPr>
          <w:rFonts w:cstheme="majorHAnsi"/>
        </w:rPr>
        <w:t>risk of exposure to SARS-CoV</w:t>
      </w:r>
      <w:r w:rsidR="007D1930" w:rsidRPr="0027640C">
        <w:rPr>
          <w:rFonts w:cstheme="majorHAnsi"/>
        </w:rPr>
        <w:t>-2</w:t>
      </w:r>
      <w:r w:rsidR="00747BFF" w:rsidRPr="0027640C">
        <w:rPr>
          <w:rFonts w:cstheme="majorHAnsi"/>
        </w:rPr>
        <w:t>,</w:t>
      </w:r>
      <w:r w:rsidR="00B21BD9" w:rsidRPr="0027640C">
        <w:rPr>
          <w:rFonts w:cstheme="majorHAnsi"/>
        </w:rPr>
        <w:t xml:space="preserve"> </w:t>
      </w:r>
      <w:r w:rsidRPr="0027640C">
        <w:rPr>
          <w:rFonts w:cstheme="majorHAnsi"/>
        </w:rPr>
        <w:t>a</w:t>
      </w:r>
      <w:r w:rsidR="008F5168" w:rsidRPr="0027640C">
        <w:rPr>
          <w:rFonts w:cstheme="majorHAnsi"/>
        </w:rPr>
        <w:t>s</w:t>
      </w:r>
      <w:r w:rsidRPr="0027640C">
        <w:rPr>
          <w:rFonts w:cstheme="majorHAnsi"/>
        </w:rPr>
        <w:t xml:space="preserve"> well as essentiality</w:t>
      </w:r>
      <w:r w:rsidR="00FA39A7" w:rsidRPr="0027640C">
        <w:rPr>
          <w:rFonts w:cstheme="majorHAnsi"/>
        </w:rPr>
        <w:t>,</w:t>
      </w:r>
      <w:r w:rsidR="002D28C9" w:rsidRPr="0027640C">
        <w:rPr>
          <w:rFonts w:cstheme="majorHAnsi"/>
        </w:rPr>
        <w:t xml:space="preserve"> </w:t>
      </w:r>
      <w:r w:rsidRPr="0027640C">
        <w:rPr>
          <w:rFonts w:cstheme="majorHAnsi"/>
        </w:rPr>
        <w:t>need</w:t>
      </w:r>
      <w:r w:rsidR="00747BFF" w:rsidRPr="0027640C">
        <w:rPr>
          <w:rFonts w:cstheme="majorHAnsi"/>
        </w:rPr>
        <w:t>s</w:t>
      </w:r>
      <w:r w:rsidRPr="0027640C">
        <w:rPr>
          <w:rFonts w:cstheme="majorHAnsi"/>
        </w:rPr>
        <w:t xml:space="preserve"> to be </w:t>
      </w:r>
      <w:r w:rsidR="00F864D8">
        <w:rPr>
          <w:rFonts w:cstheme="majorHAnsi"/>
        </w:rPr>
        <w:t>considered</w:t>
      </w:r>
      <w:r w:rsidRPr="0027640C">
        <w:rPr>
          <w:rFonts w:cstheme="majorHAnsi"/>
        </w:rPr>
        <w:t xml:space="preserve"> in prioritizing efforts to prevent transmission of COVID-19 in the workplace.</w:t>
      </w:r>
      <w:r w:rsidR="00382A25">
        <w:rPr>
          <w:rFonts w:cstheme="majorHAnsi"/>
        </w:rPr>
        <w:fldChar w:fldCharType="begin">
          <w:fldData xml:space="preserve">PEVuZE5vdGU+PENpdGU+PEF1dGhvcj5Eb29saW5nPC9BdXRob3I+PFllYXI+MjAyMDwvWWVhcj48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</w:fldData>
        </w:fldChar>
      </w:r>
      <w:r w:rsidR="0002319C">
        <w:rPr>
          <w:rFonts w:cstheme="majorHAnsi"/>
        </w:rPr>
        <w:instrText xml:space="preserve"> ADDIN EN.CITE </w:instrText>
      </w:r>
      <w:r w:rsidR="0002319C">
        <w:rPr>
          <w:rFonts w:cstheme="majorHAnsi"/>
        </w:rPr>
        <w:fldChar w:fldCharType="begin">
          <w:fldData xml:space="preserve">PEVuZE5vdGU+PENpdGU+PEF1dGhvcj5Eb29saW5nPC9BdXRob3I+PFllYXI+MjAyMDwvWWVhcj48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</w:fldData>
        </w:fldChar>
      </w:r>
      <w:r w:rsidR="0002319C">
        <w:rPr>
          <w:rFonts w:cstheme="majorHAnsi"/>
        </w:rPr>
        <w:instrText xml:space="preserve"> ADDIN EN.CITE.DATA </w:instrText>
      </w:r>
      <w:r w:rsidR="0002319C">
        <w:rPr>
          <w:rFonts w:cstheme="majorHAnsi"/>
        </w:rPr>
      </w:r>
      <w:r w:rsidR="0002319C">
        <w:rPr>
          <w:rFonts w:cstheme="majorHAnsi"/>
        </w:rPr>
        <w:fldChar w:fldCharType="end"/>
      </w:r>
      <w:r w:rsidR="00382A25">
        <w:rPr>
          <w:rFonts w:cstheme="majorHAnsi"/>
        </w:rPr>
      </w:r>
      <w:r w:rsidR="00382A25">
        <w:rPr>
          <w:rFonts w:cstheme="majorHAnsi"/>
        </w:rPr>
        <w:fldChar w:fldCharType="separate"/>
      </w:r>
      <w:r w:rsidR="0002319C">
        <w:rPr>
          <w:rFonts w:cstheme="majorHAnsi"/>
          <w:noProof/>
        </w:rPr>
        <w:t>[5-8]</w:t>
      </w:r>
      <w:r w:rsidR="00382A25">
        <w:rPr>
          <w:rFonts w:cstheme="majorHAnsi"/>
        </w:rPr>
        <w:fldChar w:fldCharType="end"/>
      </w:r>
      <w:r w:rsidR="0055620B" w:rsidDel="0055620B">
        <w:rPr>
          <w:rStyle w:val="EndnoteReference"/>
          <w:rFonts w:cstheme="majorHAnsi"/>
        </w:rPr>
        <w:t xml:space="preserve">  </w:t>
      </w:r>
    </w:p>
    <w:p w14:paraId="429AD2EB" w14:textId="12ECE606" w:rsidR="002D28C9" w:rsidRDefault="00464398" w:rsidP="00DA2DAF">
      <w:pPr>
        <w:pStyle w:val="Heading1"/>
      </w:pPr>
      <w:r w:rsidRPr="0027640C">
        <w:t>Present Aim</w:t>
      </w:r>
    </w:p>
    <w:p w14:paraId="662D8444" w14:textId="3DFA9B38" w:rsidR="00445985" w:rsidRDefault="00482C50" w:rsidP="004A222E">
      <w:pPr>
        <w:rPr>
          <w:rFonts w:cstheme="minorHAnsi"/>
        </w:rPr>
      </w:pPr>
      <w:r w:rsidRPr="0027640C">
        <w:rPr>
          <w:rFonts w:cstheme="majorHAnsi"/>
        </w:rPr>
        <w:t>T</w:t>
      </w:r>
      <w:r w:rsidR="004A222E" w:rsidRPr="0027640C">
        <w:rPr>
          <w:rFonts w:cstheme="majorHAnsi"/>
        </w:rPr>
        <w:t xml:space="preserve">his </w:t>
      </w:r>
      <w:r w:rsidR="005340FB">
        <w:rPr>
          <w:rFonts w:cstheme="majorHAnsi"/>
        </w:rPr>
        <w:t xml:space="preserve">working paper </w:t>
      </w:r>
      <w:r w:rsidRPr="0027640C">
        <w:rPr>
          <w:rFonts w:cstheme="majorHAnsi"/>
        </w:rPr>
        <w:t>presents</w:t>
      </w:r>
      <w:r w:rsidR="004A222E" w:rsidRPr="0027640C">
        <w:rPr>
          <w:rFonts w:cstheme="majorHAnsi"/>
        </w:rPr>
        <w:t xml:space="preserve"> a risk-based approach to identifying </w:t>
      </w:r>
      <w:r w:rsidR="00AB6D1B">
        <w:rPr>
          <w:rFonts w:cstheme="majorHAnsi"/>
        </w:rPr>
        <w:t>occupations</w:t>
      </w:r>
      <w:r w:rsidR="004A222E" w:rsidRPr="0027640C">
        <w:rPr>
          <w:rFonts w:cstheme="majorHAnsi"/>
        </w:rPr>
        <w:t xml:space="preserve"> in which workers </w:t>
      </w:r>
      <w:r w:rsidR="004A222E" w:rsidRPr="0027640C">
        <w:rPr>
          <w:rFonts w:cstheme="majorHAnsi"/>
          <w:i/>
        </w:rPr>
        <w:t>when present in the workplace</w:t>
      </w:r>
      <w:r w:rsidR="004A222E" w:rsidRPr="0027640C">
        <w:rPr>
          <w:rFonts w:cstheme="majorHAnsi"/>
        </w:rPr>
        <w:t xml:space="preserve"> are </w:t>
      </w:r>
      <w:r w:rsidR="008F5168" w:rsidRPr="0027640C">
        <w:rPr>
          <w:rFonts w:cstheme="majorHAnsi"/>
        </w:rPr>
        <w:t xml:space="preserve">likely </w:t>
      </w:r>
      <w:r w:rsidR="003C33E1">
        <w:rPr>
          <w:rFonts w:cstheme="majorHAnsi"/>
        </w:rPr>
        <w:t xml:space="preserve">to be </w:t>
      </w:r>
      <w:r w:rsidR="004A222E" w:rsidRPr="0027640C">
        <w:rPr>
          <w:rFonts w:cstheme="majorHAnsi"/>
        </w:rPr>
        <w:t xml:space="preserve">at </w:t>
      </w:r>
      <w:r w:rsidR="001D231E" w:rsidRPr="00482379">
        <w:rPr>
          <w:rFonts w:cstheme="majorHAnsi"/>
        </w:rPr>
        <w:t>increased</w:t>
      </w:r>
      <w:r w:rsidR="004A222E" w:rsidRPr="00482379">
        <w:rPr>
          <w:rFonts w:cstheme="majorHAnsi"/>
        </w:rPr>
        <w:t xml:space="preserve"> risk of exposure to SAR</w:t>
      </w:r>
      <w:r w:rsidR="004B05BE">
        <w:rPr>
          <w:rFonts w:cstheme="majorHAnsi"/>
        </w:rPr>
        <w:t>S</w:t>
      </w:r>
      <w:r w:rsidR="004A222E" w:rsidRPr="00482379">
        <w:rPr>
          <w:rFonts w:cstheme="majorHAnsi"/>
        </w:rPr>
        <w:t xml:space="preserve">-CoV-2.  Specifically, we provide a systematic approach to characterizing </w:t>
      </w:r>
      <w:r w:rsidR="00292A20" w:rsidRPr="00482379">
        <w:rPr>
          <w:rFonts w:cstheme="majorHAnsi"/>
        </w:rPr>
        <w:t>workplace exposure to SARS-Co</w:t>
      </w:r>
      <w:r w:rsidR="004B05BE">
        <w:rPr>
          <w:rFonts w:cstheme="majorHAnsi"/>
        </w:rPr>
        <w:t>V</w:t>
      </w:r>
      <w:r w:rsidR="00292A20" w:rsidRPr="00482379">
        <w:rPr>
          <w:rFonts w:cstheme="majorHAnsi"/>
        </w:rPr>
        <w:t xml:space="preserve">-2 </w:t>
      </w:r>
      <w:r w:rsidR="00292A20" w:rsidRPr="00316633">
        <w:rPr>
          <w:rFonts w:cstheme="majorHAnsi"/>
        </w:rPr>
        <w:t xml:space="preserve">in </w:t>
      </w:r>
      <w:r w:rsidR="0083501A" w:rsidRPr="00316633">
        <w:rPr>
          <w:rFonts w:cstheme="majorHAnsi"/>
        </w:rPr>
        <w:t>close to 700</w:t>
      </w:r>
      <w:r w:rsidR="00B21BD9" w:rsidRPr="00316633">
        <w:rPr>
          <w:rFonts w:cstheme="majorHAnsi"/>
        </w:rPr>
        <w:t xml:space="preserve"> </w:t>
      </w:r>
      <w:r w:rsidR="00292A20" w:rsidRPr="00316633">
        <w:rPr>
          <w:rFonts w:cstheme="majorHAnsi"/>
        </w:rPr>
        <w:t>non-</w:t>
      </w:r>
      <w:r w:rsidR="00292A20" w:rsidRPr="00482379">
        <w:rPr>
          <w:rFonts w:cstheme="majorHAnsi"/>
        </w:rPr>
        <w:t xml:space="preserve">health care </w:t>
      </w:r>
      <w:r w:rsidR="004A222E" w:rsidRPr="00482379">
        <w:rPr>
          <w:rFonts w:cstheme="majorHAnsi"/>
        </w:rPr>
        <w:t xml:space="preserve">occupations </w:t>
      </w:r>
      <w:r w:rsidR="00FF47E3" w:rsidRPr="00482379">
        <w:rPr>
          <w:rFonts w:cstheme="majorHAnsi"/>
        </w:rPr>
        <w:t xml:space="preserve">based on </w:t>
      </w:r>
      <w:r w:rsidR="004A222E" w:rsidRPr="00482379">
        <w:rPr>
          <w:rFonts w:cstheme="majorHAnsi"/>
        </w:rPr>
        <w:t xml:space="preserve">several risk factors for exposure </w:t>
      </w:r>
      <w:r w:rsidR="00FE5BC0" w:rsidRPr="00482379">
        <w:rPr>
          <w:rFonts w:cstheme="majorHAnsi"/>
        </w:rPr>
        <w:t>in the workplace</w:t>
      </w:r>
      <w:r w:rsidR="004A222E" w:rsidRPr="00482379">
        <w:rPr>
          <w:rFonts w:cstheme="majorHAnsi"/>
        </w:rPr>
        <w:t xml:space="preserve">, using metrics from O*NET, a national database with information on occupational characteristics, together with input from experts in occupational safety and health. </w:t>
      </w:r>
      <w:r w:rsidR="00436212" w:rsidRPr="00482379">
        <w:rPr>
          <w:rFonts w:cstheme="majorHAnsi"/>
        </w:rPr>
        <w:t>We focus</w:t>
      </w:r>
      <w:r w:rsidR="00436212" w:rsidRPr="0027640C">
        <w:rPr>
          <w:rFonts w:cstheme="majorHAnsi"/>
        </w:rPr>
        <w:t xml:space="preserve"> o</w:t>
      </w:r>
      <w:r w:rsidR="00436212" w:rsidRPr="005F4CC4">
        <w:rPr>
          <w:rFonts w:cstheme="majorHAnsi"/>
        </w:rPr>
        <w:t>n three factors that have been identified as contributing to increased risk of exposure: whether an occupation involves routine in</w:t>
      </w:r>
      <w:r w:rsidR="00743D93" w:rsidRPr="005F4CC4">
        <w:rPr>
          <w:rFonts w:cstheme="majorHAnsi"/>
        </w:rPr>
        <w:t>-</w:t>
      </w:r>
      <w:r w:rsidR="00436212" w:rsidRPr="005F4CC4">
        <w:rPr>
          <w:rFonts w:cstheme="majorHAnsi"/>
        </w:rPr>
        <w:t>person interaction wit</w:t>
      </w:r>
      <w:r w:rsidR="00436212" w:rsidRPr="005F4CC4">
        <w:rPr>
          <w:rFonts w:cstheme="minorHAnsi"/>
        </w:rPr>
        <w:t>h the public</w:t>
      </w:r>
      <w:r w:rsidR="00DD3A25" w:rsidRPr="005F4CC4">
        <w:rPr>
          <w:rFonts w:cstheme="minorHAnsi"/>
        </w:rPr>
        <w:t xml:space="preserve"> (</w:t>
      </w:r>
      <w:r w:rsidR="00DD3A25" w:rsidRPr="005F4CC4">
        <w:rPr>
          <w:rFonts w:cstheme="minorHAnsi"/>
          <w:i/>
        </w:rPr>
        <w:t>Public Facing</w:t>
      </w:r>
      <w:r w:rsidR="00DD3A25" w:rsidRPr="005F4CC4">
        <w:rPr>
          <w:rFonts w:cstheme="minorHAnsi"/>
        </w:rPr>
        <w:t>)</w:t>
      </w:r>
      <w:r w:rsidR="00436212" w:rsidRPr="005F4CC4">
        <w:rPr>
          <w:rFonts w:cstheme="minorHAnsi"/>
        </w:rPr>
        <w:t xml:space="preserve">, </w:t>
      </w:r>
      <w:r w:rsidR="00DD3A25" w:rsidRPr="005F4CC4">
        <w:rPr>
          <w:rFonts w:cstheme="minorHAnsi"/>
        </w:rPr>
        <w:t>working indoors (</w:t>
      </w:r>
      <w:r w:rsidR="00DD3A25" w:rsidRPr="005F4CC4">
        <w:rPr>
          <w:rFonts w:cstheme="minorHAnsi"/>
          <w:i/>
        </w:rPr>
        <w:t>Working Indoors</w:t>
      </w:r>
      <w:r w:rsidR="00DD3A25" w:rsidRPr="005F4CC4">
        <w:rPr>
          <w:rFonts w:cstheme="minorHAnsi"/>
        </w:rPr>
        <w:t xml:space="preserve">), and </w:t>
      </w:r>
      <w:r w:rsidR="00436212" w:rsidRPr="005F4CC4">
        <w:rPr>
          <w:rFonts w:cstheme="minorHAnsi"/>
        </w:rPr>
        <w:t xml:space="preserve">working in close </w:t>
      </w:r>
      <w:r w:rsidR="00EE2D7F" w:rsidRPr="005F4CC4">
        <w:rPr>
          <w:rFonts w:cstheme="minorHAnsi"/>
        </w:rPr>
        <w:t>physic</w:t>
      </w:r>
      <w:r w:rsidR="00DD3A25" w:rsidRPr="005F4CC4">
        <w:rPr>
          <w:rFonts w:cstheme="minorHAnsi"/>
        </w:rPr>
        <w:t>al</w:t>
      </w:r>
      <w:r w:rsidR="00EE2D7F" w:rsidRPr="005F4CC4">
        <w:rPr>
          <w:rFonts w:cstheme="minorHAnsi"/>
        </w:rPr>
        <w:t xml:space="preserve"> </w:t>
      </w:r>
      <w:r w:rsidR="00436212" w:rsidRPr="005F4CC4">
        <w:rPr>
          <w:rFonts w:cstheme="minorHAnsi"/>
        </w:rPr>
        <w:t xml:space="preserve">proximity </w:t>
      </w:r>
      <w:r w:rsidR="00132D2E" w:rsidRPr="005F4CC4">
        <w:rPr>
          <w:rFonts w:cstheme="minorHAnsi"/>
        </w:rPr>
        <w:t xml:space="preserve">to </w:t>
      </w:r>
      <w:r w:rsidR="00436212" w:rsidRPr="005F4CC4">
        <w:rPr>
          <w:rFonts w:cstheme="minorHAnsi"/>
        </w:rPr>
        <w:t>others</w:t>
      </w:r>
      <w:r w:rsidR="00652E5F">
        <w:rPr>
          <w:rFonts w:cstheme="minorHAnsi"/>
        </w:rPr>
        <w:t xml:space="preserve">, </w:t>
      </w:r>
      <w:r w:rsidR="00436212" w:rsidRPr="005F4CC4">
        <w:rPr>
          <w:rFonts w:cstheme="minorHAnsi"/>
        </w:rPr>
        <w:t>either co-workers or the public</w:t>
      </w:r>
      <w:r w:rsidR="00D37929">
        <w:rPr>
          <w:rFonts w:cstheme="minorHAnsi"/>
        </w:rPr>
        <w:t xml:space="preserve"> </w:t>
      </w:r>
      <w:r w:rsidR="00DD3A25" w:rsidRPr="005F4CC4">
        <w:rPr>
          <w:rFonts w:cstheme="minorHAnsi"/>
        </w:rPr>
        <w:t>(</w:t>
      </w:r>
      <w:r w:rsidR="00DD3A25" w:rsidRPr="005F4CC4">
        <w:rPr>
          <w:rFonts w:cstheme="minorHAnsi"/>
          <w:i/>
        </w:rPr>
        <w:t>Close Proximity</w:t>
      </w:r>
      <w:r w:rsidR="00DD3A25" w:rsidRPr="005F4CC4">
        <w:rPr>
          <w:rFonts w:cstheme="minorHAnsi"/>
        </w:rPr>
        <w:t>).</w:t>
      </w:r>
      <w:r w:rsidR="003E6168">
        <w:rPr>
          <w:rFonts w:cstheme="minorHAnsi"/>
        </w:rPr>
        <w:fldChar w:fldCharType="begin">
          <w:fldData xml:space="preserve">PEVuZE5vdGU+PENpdGU+PEF1dGhvcj5VLlMuIERlcGFydG1lbnQgb2YgSG9tZWxhbmQgU2VjdXJp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</w:fldData>
        </w:fldChar>
      </w:r>
      <w:r w:rsidR="0002319C">
        <w:rPr>
          <w:rFonts w:cstheme="minorHAnsi"/>
        </w:rPr>
        <w:instrText xml:space="preserve"> ADDIN EN.CITE </w:instrText>
      </w:r>
      <w:r w:rsidR="0002319C">
        <w:rPr>
          <w:rFonts w:cstheme="minorHAnsi"/>
        </w:rPr>
        <w:fldChar w:fldCharType="begin">
          <w:fldData xml:space="preserve">PEVuZE5vdGU+PENpdGU+PEF1dGhvcj5VLlMuIERlcGFydG1lbnQgb2YgSG9tZWxhbmQgU2VjdXJp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</w:fldData>
        </w:fldChar>
      </w:r>
      <w:r w:rsidR="0002319C">
        <w:rPr>
          <w:rFonts w:cstheme="minorHAnsi"/>
        </w:rPr>
        <w:instrText xml:space="preserve"> ADDIN EN.CITE.DATA </w:instrText>
      </w:r>
      <w:r w:rsidR="0002319C">
        <w:rPr>
          <w:rFonts w:cstheme="minorHAnsi"/>
        </w:rPr>
      </w:r>
      <w:r w:rsidR="0002319C">
        <w:rPr>
          <w:rFonts w:cstheme="minorHAnsi"/>
        </w:rPr>
        <w:fldChar w:fldCharType="end"/>
      </w:r>
      <w:r w:rsidR="003E6168">
        <w:rPr>
          <w:rFonts w:cstheme="minorHAnsi"/>
        </w:rPr>
      </w:r>
      <w:r w:rsidR="003E6168">
        <w:rPr>
          <w:rFonts w:cstheme="minorHAnsi"/>
        </w:rPr>
        <w:fldChar w:fldCharType="separate"/>
      </w:r>
      <w:r w:rsidR="0002319C">
        <w:rPr>
          <w:rFonts w:cstheme="minorHAnsi"/>
          <w:noProof/>
        </w:rPr>
        <w:t>[5, 7, 9]</w:t>
      </w:r>
      <w:r w:rsidR="003E6168">
        <w:rPr>
          <w:rFonts w:cstheme="minorHAnsi"/>
        </w:rPr>
        <w:fldChar w:fldCharType="end"/>
      </w:r>
      <w:r w:rsidR="004160A2">
        <w:rPr>
          <w:rFonts w:cstheme="minorHAnsi"/>
          <w:vertAlign w:val="superscript"/>
        </w:rPr>
        <w:t xml:space="preserve"> </w:t>
      </w:r>
      <w:r w:rsidR="0055620B">
        <w:rPr>
          <w:rFonts w:cstheme="minorHAnsi"/>
          <w:vertAlign w:val="superscript"/>
        </w:rPr>
        <w:t xml:space="preserve"> </w:t>
      </w:r>
      <w:r w:rsidR="00E401E6" w:rsidRPr="005F4CC4">
        <w:rPr>
          <w:rFonts w:cstheme="minorHAnsi"/>
        </w:rPr>
        <w:t xml:space="preserve">In an earlier </w:t>
      </w:r>
      <w:r w:rsidR="002C3CE7" w:rsidRPr="005F4CC4">
        <w:rPr>
          <w:rFonts w:cstheme="minorHAnsi"/>
        </w:rPr>
        <w:t xml:space="preserve">CSTE </w:t>
      </w:r>
      <w:r w:rsidR="00E401E6" w:rsidRPr="005F4CC4">
        <w:rPr>
          <w:rFonts w:cstheme="minorHAnsi"/>
        </w:rPr>
        <w:t xml:space="preserve">document, we used this approach to </w:t>
      </w:r>
      <w:r w:rsidR="00652E5F">
        <w:rPr>
          <w:rFonts w:cstheme="minorHAnsi"/>
        </w:rPr>
        <w:t>designate</w:t>
      </w:r>
      <w:r w:rsidR="00221073" w:rsidRPr="005F4CC4">
        <w:rPr>
          <w:rFonts w:cstheme="minorHAnsi"/>
        </w:rPr>
        <w:t xml:space="preserve"> </w:t>
      </w:r>
      <w:r w:rsidR="004F640D">
        <w:rPr>
          <w:rFonts w:cstheme="minorHAnsi"/>
        </w:rPr>
        <w:t xml:space="preserve">select </w:t>
      </w:r>
      <w:r w:rsidR="00E401E6" w:rsidRPr="005F4CC4">
        <w:rPr>
          <w:rFonts w:cstheme="minorHAnsi"/>
        </w:rPr>
        <w:t>occu</w:t>
      </w:r>
      <w:r w:rsidR="00436212" w:rsidRPr="005F4CC4">
        <w:rPr>
          <w:rFonts w:cstheme="minorHAnsi"/>
        </w:rPr>
        <w:t>pations</w:t>
      </w:r>
      <w:r w:rsidR="00E401E6" w:rsidRPr="005F4CC4">
        <w:rPr>
          <w:rFonts w:cstheme="minorHAnsi"/>
        </w:rPr>
        <w:t xml:space="preserve"> as </w:t>
      </w:r>
      <w:r w:rsidR="00652E5F">
        <w:rPr>
          <w:rFonts w:cstheme="minorHAnsi"/>
        </w:rPr>
        <w:t>Public Facing</w:t>
      </w:r>
      <w:r w:rsidR="00652E5F" w:rsidRPr="004F5224">
        <w:rPr>
          <w:rFonts w:cstheme="minorHAnsi"/>
        </w:rPr>
        <w:t xml:space="preserve">, </w:t>
      </w:r>
      <w:r w:rsidR="002C3CE7" w:rsidRPr="00482379">
        <w:rPr>
          <w:rFonts w:cstheme="minorHAnsi"/>
        </w:rPr>
        <w:t xml:space="preserve">providing information needed to </w:t>
      </w:r>
      <w:r w:rsidR="00E401E6" w:rsidRPr="00482379">
        <w:rPr>
          <w:rFonts w:cstheme="minorHAnsi"/>
        </w:rPr>
        <w:t xml:space="preserve">apply </w:t>
      </w:r>
      <w:r w:rsidR="00132D2E" w:rsidRPr="00482379">
        <w:rPr>
          <w:rFonts w:cstheme="minorHAnsi"/>
        </w:rPr>
        <w:t xml:space="preserve">the CSTE </w:t>
      </w:r>
      <w:r w:rsidR="00E401E6" w:rsidRPr="00482379">
        <w:rPr>
          <w:rFonts w:cstheme="minorHAnsi"/>
        </w:rPr>
        <w:t>surveillance case d</w:t>
      </w:r>
      <w:r w:rsidR="00436212" w:rsidRPr="00482379">
        <w:rPr>
          <w:rFonts w:cstheme="minorHAnsi"/>
        </w:rPr>
        <w:t xml:space="preserve">efinition </w:t>
      </w:r>
      <w:r w:rsidR="00E401E6" w:rsidRPr="00482379">
        <w:rPr>
          <w:rFonts w:cstheme="minorHAnsi"/>
        </w:rPr>
        <w:t>for work-related  COVID</w:t>
      </w:r>
      <w:r w:rsidR="00436212" w:rsidRPr="00482379">
        <w:rPr>
          <w:rFonts w:cstheme="minorHAnsi"/>
        </w:rPr>
        <w:t>-19</w:t>
      </w:r>
      <w:r w:rsidR="00E401E6" w:rsidRPr="00482379">
        <w:rPr>
          <w:rFonts w:cstheme="minorHAnsi"/>
        </w:rPr>
        <w:t>.</w:t>
      </w:r>
      <w:r w:rsidR="007F385E">
        <w:rPr>
          <w:rFonts w:cstheme="minorHAnsi"/>
        </w:rPr>
        <w:fldChar w:fldCharType="begin"/>
      </w:r>
      <w:r w:rsidR="0002319C">
        <w:rPr>
          <w:rFonts w:cstheme="minorHAnsi"/>
        </w:rPr>
        <w:instrText xml:space="preserve"> ADDIN EN.CITE &lt;EndNote&gt;&lt;Cite&gt;&lt;Author&gt;Council of State and Territorial Epidemiologists Committee: Infectious Disease&lt;/Author&gt;&lt;Year&gt;2020&lt;/Year&gt;&lt;RecNum&gt;10&lt;/RecNum&gt;&lt;DisplayText&gt;[10]&lt;/DisplayText&gt;&lt;record&gt;&lt;rec-number&gt;10&lt;/rec-number&gt;&lt;foreign-keys&gt;&lt;key app="EN" db-id="fev0zvzp3deftke0v2250x5xfrd59szftaet" timestamp="1613245400"&gt;10&lt;/key&gt;&lt;/foreign-keys&gt;&lt;ref-type name="Web Page"&gt;12&lt;/ref-type&gt;&lt;contributors&gt;&lt;authors&gt;&lt;author&gt;Council of State and Territorial Epidemiologists Committee: Infectious Disease, &lt;/author&gt;&lt;/authors&gt;&lt;secondary-authors&gt;&lt;author&gt;Committee: Infectious Disease,&lt;/author&gt;&lt;/secondary-authors&gt;&lt;/contributors&gt;&lt;titles&gt;&lt;title&gt;Interim-20-ID-02 : Update to the standardized surveillance case definition and national notification for 2019 novel coronavirus disease (COVID-19)&lt;/title&gt;&lt;/titles&gt;&lt;dates&gt;&lt;year&gt;2020&lt;/year&gt;&lt;/dates&gt;&lt;publisher&gt;Council of State and Territorial Epidemiologists, Committee: Infectious Disease&lt;/publisher&gt;&lt;urls&gt;&lt;related-urls&gt;&lt;url&gt;https://cdn.ymaws.com/www.cste.org/resource/resmgr/ps/positionstatement2020/Interim-20-ID-02_COVID-19.pdf&lt;/url&gt;&lt;/related-urls&gt;&lt;/urls&gt;&lt;/record&gt;&lt;/Cite&gt;&lt;/EndNote&gt;</w:instrText>
      </w:r>
      <w:r w:rsidR="007F385E">
        <w:rPr>
          <w:rFonts w:cstheme="minorHAnsi"/>
        </w:rPr>
        <w:fldChar w:fldCharType="separate"/>
      </w:r>
      <w:r w:rsidR="0002319C">
        <w:rPr>
          <w:rFonts w:cstheme="minorHAnsi"/>
          <w:noProof/>
        </w:rPr>
        <w:t>[10]</w:t>
      </w:r>
      <w:r w:rsidR="007F385E">
        <w:rPr>
          <w:rFonts w:cstheme="minorHAnsi"/>
        </w:rPr>
        <w:fldChar w:fldCharType="end"/>
      </w:r>
      <w:r w:rsidR="0055620B">
        <w:rPr>
          <w:rFonts w:cstheme="minorHAnsi"/>
        </w:rPr>
        <w:t xml:space="preserve">  </w:t>
      </w:r>
      <w:r w:rsidR="000B6362" w:rsidRPr="004F5224">
        <w:rPr>
          <w:rFonts w:cstheme="minorHAnsi"/>
        </w:rPr>
        <w:t>Here</w:t>
      </w:r>
      <w:r w:rsidR="00EE2D7F" w:rsidRPr="004F5224">
        <w:rPr>
          <w:rFonts w:cstheme="minorHAnsi"/>
        </w:rPr>
        <w:t xml:space="preserve">, </w:t>
      </w:r>
      <w:r w:rsidR="00436212" w:rsidRPr="004F5224">
        <w:rPr>
          <w:rFonts w:cstheme="minorHAnsi"/>
        </w:rPr>
        <w:t xml:space="preserve">we build on this work to </w:t>
      </w:r>
      <w:r w:rsidR="00EE2D7F" w:rsidRPr="00482379">
        <w:rPr>
          <w:rFonts w:cstheme="minorHAnsi"/>
        </w:rPr>
        <w:t>develop</w:t>
      </w:r>
      <w:r w:rsidR="00436212" w:rsidRPr="00482379">
        <w:rPr>
          <w:rFonts w:cstheme="minorHAnsi"/>
        </w:rPr>
        <w:t xml:space="preserve"> ordinal measures of </w:t>
      </w:r>
      <w:r w:rsidR="0085226A" w:rsidRPr="00482379">
        <w:rPr>
          <w:rFonts w:cstheme="minorHAnsi"/>
        </w:rPr>
        <w:t xml:space="preserve">exposure related to </w:t>
      </w:r>
      <w:r w:rsidR="00DD3A25" w:rsidRPr="00482379">
        <w:rPr>
          <w:rFonts w:cstheme="minorHAnsi"/>
          <w:i/>
        </w:rPr>
        <w:t>W</w:t>
      </w:r>
      <w:r w:rsidR="00436212" w:rsidRPr="00482379">
        <w:rPr>
          <w:rFonts w:cstheme="minorHAnsi"/>
          <w:i/>
        </w:rPr>
        <w:t xml:space="preserve">orking </w:t>
      </w:r>
      <w:r w:rsidR="00DD3A25" w:rsidRPr="00482379">
        <w:rPr>
          <w:rFonts w:cstheme="minorHAnsi"/>
          <w:i/>
        </w:rPr>
        <w:t>I</w:t>
      </w:r>
      <w:r w:rsidR="00436212" w:rsidRPr="00482379">
        <w:rPr>
          <w:rFonts w:cstheme="minorHAnsi"/>
          <w:i/>
        </w:rPr>
        <w:t>ndoors</w:t>
      </w:r>
      <w:r w:rsidR="00436212" w:rsidRPr="00482379">
        <w:rPr>
          <w:rFonts w:cstheme="minorHAnsi"/>
        </w:rPr>
        <w:t xml:space="preserve"> and working in </w:t>
      </w:r>
      <w:r w:rsidR="00DD3A25" w:rsidRPr="00482379">
        <w:rPr>
          <w:rFonts w:cstheme="minorHAnsi"/>
          <w:i/>
        </w:rPr>
        <w:t>C</w:t>
      </w:r>
      <w:r w:rsidR="00436212" w:rsidRPr="00482379">
        <w:rPr>
          <w:rFonts w:cstheme="minorHAnsi"/>
          <w:i/>
        </w:rPr>
        <w:t xml:space="preserve">lose </w:t>
      </w:r>
      <w:r w:rsidR="00DD3A25" w:rsidRPr="004F5224">
        <w:rPr>
          <w:rFonts w:cstheme="minorHAnsi"/>
          <w:i/>
        </w:rPr>
        <w:t>P</w:t>
      </w:r>
      <w:r w:rsidR="00436212" w:rsidRPr="004F5224">
        <w:rPr>
          <w:rFonts w:cstheme="minorHAnsi"/>
          <w:i/>
        </w:rPr>
        <w:t>roximity</w:t>
      </w:r>
      <w:r w:rsidR="00436212" w:rsidRPr="004F5224">
        <w:rPr>
          <w:rFonts w:cstheme="minorHAnsi"/>
        </w:rPr>
        <w:t xml:space="preserve">. </w:t>
      </w:r>
      <w:r w:rsidR="003C33E1" w:rsidRPr="008669E2">
        <w:rPr>
          <w:rFonts w:cstheme="minorHAnsi"/>
        </w:rPr>
        <w:t>CDC and states have already defined health</w:t>
      </w:r>
      <w:r w:rsidR="003C33E1">
        <w:rPr>
          <w:rFonts w:cstheme="minorHAnsi"/>
        </w:rPr>
        <w:t xml:space="preserve"> </w:t>
      </w:r>
      <w:r w:rsidR="003C33E1" w:rsidRPr="008669E2">
        <w:rPr>
          <w:rFonts w:cstheme="minorHAnsi"/>
        </w:rPr>
        <w:t>care workers as a distinct group at high risk of exposure</w:t>
      </w:r>
      <w:r w:rsidR="003C33E1">
        <w:rPr>
          <w:rFonts w:cstheme="minorHAnsi"/>
        </w:rPr>
        <w:t xml:space="preserve"> to</w:t>
      </w:r>
      <w:r w:rsidR="003C33E1" w:rsidRPr="008669E2">
        <w:rPr>
          <w:rFonts w:cstheme="minorHAnsi"/>
        </w:rPr>
        <w:t xml:space="preserve"> SARS-CoV-2 for purposes of prioritizing exposure controls and vaccine allocation.</w:t>
      </w:r>
      <w:r w:rsidR="007F385E">
        <w:rPr>
          <w:rFonts w:cstheme="minorHAnsi"/>
        </w:rPr>
        <w:fldChar w:fldCharType="begin"/>
      </w:r>
      <w:r w:rsidR="0002319C">
        <w:rPr>
          <w:rFonts w:cstheme="minorHAnsi"/>
        </w:rPr>
        <w:instrText xml:space="preserve"> ADDIN EN.CITE &lt;EndNote&gt;&lt;Cite&gt;&lt;Author&gt;Dooling&lt;/Author&gt;&lt;Year&gt;2020&lt;/Year&gt;&lt;RecNum&gt;5&lt;/RecNum&gt;&lt;DisplayText&gt;[6, 11]&lt;/DisplayText&gt;&lt;record&gt;&lt;rec-number&gt;5&lt;/rec-number&gt;&lt;foreign-keys&gt;&lt;key app="EN" db-id="fev0zvzp3deftke0v2250x5xfrd59szftaet" timestamp="1613243556"&gt;5&lt;/key&gt;&lt;/foreign-keys&gt;&lt;ref-type name="Journal Article"&gt;17&lt;/ref-type&gt;&lt;contributors&gt;&lt;authors&gt;&lt;author&gt;Dooling, Kathleen&lt;/author&gt;&lt;author&gt;McClung, Nancy&lt;/author&gt;&lt;author&gt;Chamberland, Mary&lt;/author&gt;&lt;author&gt;Marin, Mona&lt;/author&gt;&lt;author&gt;Wallace, Megan&lt;/author&gt;&lt;author&gt;Bell, Beth P&lt;/author&gt;&lt;author&gt;Lee, Grace M&lt;/author&gt;&lt;author&gt;Talbot, H Keipp&lt;/author&gt;&lt;author&gt;Romero, José R&lt;/author&gt;&lt;author&gt;Oliver, Sara E&lt;/author&gt;&lt;/authors&gt;&lt;/contributors&gt;&lt;titles&gt;&lt;title&gt;The Advisory Committee on Immunization Practices’ Interim Recommendation for Allocating Initial Supplies of COVID-19 Vaccine—United States, 2020&lt;/title&gt;&lt;secondary-title&gt;Morbidity and Mortality Weekly Report&lt;/secondary-title&gt;&lt;/titles&gt;&lt;periodical&gt;&lt;full-title&gt;Morbidity and Mortality Weekly Report&lt;/full-title&gt;&lt;/periodical&gt;&lt;pages&gt;1857&lt;/pages&gt;&lt;volume&gt;69&lt;/volume&gt;&lt;number&gt;49&lt;/number&gt;&lt;dates&gt;&lt;year&gt;2020&lt;/year&gt;&lt;/dates&gt;&lt;urls&gt;&lt;/urls&gt;&lt;/record&gt;&lt;/Cite&gt;&lt;Cite&gt;&lt;Author&gt;Center for Disease Control and Prevention&lt;/Author&gt;&lt;Year&gt;2020&lt;/Year&gt;&lt;RecNum&gt;11&lt;/RecNum&gt;&lt;record&gt;&lt;rec-number&gt;11&lt;/rec-number&gt;&lt;foreign-keys&gt;&lt;key app="EN" db-id="fev0zvzp3deftke0v2250x5xfrd59szftaet" timestamp="1613245634"&gt;11&lt;/key&gt;&lt;/foreign-keys&gt;&lt;ref-type name="Web Page"&gt;12&lt;/ref-type&gt;&lt;contributors&gt;&lt;authors&gt;&lt;author&gt;Center for Disease Control and Prevention,&lt;/author&gt;&lt;/authors&gt;&lt;/contributors&gt;&lt;titles&gt;&lt;title&gt;Instructions for Completing the Human Infection with 2019 Novel Coronavirus (COVID-19) Case Report Form (Version 1 May 2020)&lt;/title&gt;&lt;/titles&gt;&lt;number&gt;February 11, 2021&lt;/number&gt;&lt;dates&gt;&lt;year&gt;2020&lt;/year&gt;&lt;/dates&gt;&lt;pub-location&gt;Atlanta, Georgia&lt;/pub-location&gt;&lt;publisher&gt;CDC&lt;/publisher&gt;&lt;urls&gt;&lt;related-urls&gt;&lt;url&gt;https://www.cdc.gov/coronavirus/2019-ncov/downloads/COVID-19-Persons-Under-Investigation-and-Case-Report-Form-Instructions.pdf&lt;/url&gt;&lt;/related-urls&gt;&lt;/urls&gt;&lt;/record&gt;&lt;/Cite&gt;&lt;/EndNote&gt;</w:instrText>
      </w:r>
      <w:r w:rsidR="007F385E">
        <w:rPr>
          <w:rFonts w:cstheme="minorHAnsi"/>
        </w:rPr>
        <w:fldChar w:fldCharType="separate"/>
      </w:r>
      <w:r w:rsidR="0002319C">
        <w:rPr>
          <w:rFonts w:cstheme="minorHAnsi"/>
          <w:noProof/>
        </w:rPr>
        <w:t>[6, 11]</w:t>
      </w:r>
      <w:r w:rsidR="007F385E">
        <w:rPr>
          <w:rFonts w:cstheme="minorHAnsi"/>
        </w:rPr>
        <w:fldChar w:fldCharType="end"/>
      </w:r>
      <w:r w:rsidR="0055620B">
        <w:rPr>
          <w:rFonts w:cstheme="minorHAnsi"/>
        </w:rPr>
        <w:t xml:space="preserve"> </w:t>
      </w:r>
      <w:r w:rsidR="003C33E1" w:rsidRPr="008669E2">
        <w:rPr>
          <w:rFonts w:cstheme="minorHAnsi"/>
        </w:rPr>
        <w:t xml:space="preserve"> </w:t>
      </w:r>
      <w:r w:rsidR="003C33E1">
        <w:rPr>
          <w:rFonts w:cstheme="minorHAnsi"/>
        </w:rPr>
        <w:t>Our efforts,</w:t>
      </w:r>
      <w:r w:rsidR="003C33E1" w:rsidRPr="008669E2">
        <w:rPr>
          <w:rFonts w:cstheme="minorHAnsi"/>
        </w:rPr>
        <w:t xml:space="preserve"> therefore</w:t>
      </w:r>
      <w:r w:rsidR="003C33E1">
        <w:rPr>
          <w:rFonts w:cstheme="minorHAnsi"/>
        </w:rPr>
        <w:t>,</w:t>
      </w:r>
      <w:r w:rsidR="003C33E1" w:rsidRPr="008669E2">
        <w:rPr>
          <w:rFonts w:cstheme="minorHAnsi"/>
        </w:rPr>
        <w:t xml:space="preserve"> </w:t>
      </w:r>
      <w:r w:rsidR="00EB343B">
        <w:rPr>
          <w:rFonts w:cstheme="minorHAnsi"/>
        </w:rPr>
        <w:t>are</w:t>
      </w:r>
      <w:r w:rsidR="003C33E1">
        <w:rPr>
          <w:rFonts w:cstheme="minorHAnsi"/>
        </w:rPr>
        <w:t xml:space="preserve"> </w:t>
      </w:r>
      <w:r w:rsidR="003C33E1" w:rsidRPr="008669E2">
        <w:rPr>
          <w:rFonts w:cstheme="minorHAnsi"/>
        </w:rPr>
        <w:t>focuse</w:t>
      </w:r>
      <w:r w:rsidR="003C33E1">
        <w:rPr>
          <w:rFonts w:cstheme="minorHAnsi"/>
        </w:rPr>
        <w:t>d</w:t>
      </w:r>
      <w:r w:rsidR="003C33E1" w:rsidRPr="008669E2">
        <w:rPr>
          <w:rFonts w:cstheme="minorHAnsi"/>
        </w:rPr>
        <w:t xml:space="preserve"> on </w:t>
      </w:r>
      <w:r w:rsidR="003C33E1">
        <w:rPr>
          <w:rFonts w:cstheme="minorHAnsi"/>
        </w:rPr>
        <w:t>characterizing</w:t>
      </w:r>
      <w:r w:rsidR="003C33E1" w:rsidRPr="008669E2">
        <w:rPr>
          <w:rFonts w:cstheme="minorHAnsi"/>
        </w:rPr>
        <w:t xml:space="preserve"> </w:t>
      </w:r>
      <w:r w:rsidR="003C33E1">
        <w:rPr>
          <w:rFonts w:cstheme="minorHAnsi"/>
        </w:rPr>
        <w:t xml:space="preserve">potential </w:t>
      </w:r>
      <w:r w:rsidR="003C33E1" w:rsidRPr="008669E2">
        <w:rPr>
          <w:rFonts w:cstheme="minorHAnsi"/>
        </w:rPr>
        <w:t xml:space="preserve">exposure </w:t>
      </w:r>
      <w:r w:rsidR="003C33E1">
        <w:rPr>
          <w:rFonts w:cstheme="minorHAnsi"/>
        </w:rPr>
        <w:t xml:space="preserve">to SARS-CoV-2 faced by </w:t>
      </w:r>
      <w:r w:rsidR="003C33E1" w:rsidRPr="008669E2">
        <w:rPr>
          <w:rFonts w:cstheme="minorHAnsi"/>
        </w:rPr>
        <w:t xml:space="preserve">workers employed in </w:t>
      </w:r>
      <w:r w:rsidR="003C33E1">
        <w:rPr>
          <w:rFonts w:cstheme="minorHAnsi"/>
        </w:rPr>
        <w:t xml:space="preserve">non-health care (non-HC) </w:t>
      </w:r>
      <w:r w:rsidR="003C33E1" w:rsidRPr="008669E2">
        <w:rPr>
          <w:rFonts w:cstheme="minorHAnsi"/>
        </w:rPr>
        <w:t>occupations</w:t>
      </w:r>
      <w:r w:rsidR="003C33E1">
        <w:rPr>
          <w:rFonts w:cstheme="minorHAnsi"/>
        </w:rPr>
        <w:t xml:space="preserve"> - an estimated </w:t>
      </w:r>
      <m:oMath>
        <m:r>
          <w:rPr>
            <w:rFonts w:ascii="Cambria Math" w:hAnsi="Cambria Math" w:cstheme="minorHAnsi"/>
          </w:rPr>
          <m:t>90</m:t>
        </m:r>
      </m:oMath>
      <w:r w:rsidR="003C33E1">
        <w:rPr>
          <w:rFonts w:cstheme="minorHAnsi"/>
        </w:rPr>
        <w:t>% of the U.S. workforce</w:t>
      </w:r>
      <w:r w:rsidR="001C48F6">
        <w:rPr>
          <w:rFonts w:cstheme="minorHAnsi"/>
        </w:rPr>
        <w:t>.</w:t>
      </w:r>
      <w:r w:rsidR="0055620B">
        <w:rPr>
          <w:rStyle w:val="FootnoteReference"/>
          <w:rFonts w:cstheme="minorHAnsi"/>
        </w:rPr>
        <w:footnoteReference w:id="2"/>
      </w:r>
      <w:r w:rsidR="001C48F6">
        <w:rPr>
          <w:rFonts w:cstheme="minorHAnsi"/>
        </w:rPr>
        <w:t xml:space="preserve"> </w:t>
      </w:r>
      <w:r w:rsidR="00A224D5">
        <w:rPr>
          <w:rFonts w:cstheme="minorHAnsi"/>
        </w:rPr>
        <w:fldChar w:fldCharType="begin"/>
      </w:r>
      <w:r w:rsidR="0002319C">
        <w:rPr>
          <w:rFonts w:cstheme="minorHAnsi"/>
        </w:rPr>
        <w:instrText xml:space="preserve"> ADDIN EN.CITE &lt;EndNote&gt;&lt;Cite&gt;&lt;Author&gt;U.S. Bureau of Labor Statistics&lt;/Author&gt;&lt;Year&gt;2019&lt;/Year&gt;&lt;RecNum&gt;12&lt;/RecNum&gt;&lt;DisplayText&gt;[12]&lt;/DisplayText&gt;&lt;record&gt;&lt;rec-number&gt;12&lt;/rec-number&gt;&lt;foreign-keys&gt;&lt;key app="EN" db-id="fev0zvzp3deftke0v2250x5xfrd59szftaet" timestamp="1613247406"&gt;12&lt;/key&gt;&lt;/foreign-keys&gt;&lt;ref-type name="Web Page"&gt;12&lt;/ref-type&gt;&lt;contributors&gt;&lt;authors&gt;&lt;author&gt;U.S. Bureau of Labor Statistics,&lt;/author&gt;&lt;/authors&gt;&lt;/contributors&gt;&lt;titles&gt;&lt;title&gt;Occupational Employment Statistics, National Employment Statistics&lt;/title&gt;&lt;/titles&gt;&lt;dates&gt;&lt;year&gt;2019&lt;/year&gt;&lt;/dates&gt;&lt;publisher&gt;U.S. Bureau of Labor Statistics&lt;/publisher&gt;&lt;urls&gt;&lt;/urls&gt;&lt;/record&gt;&lt;/Cite&gt;&lt;/EndNote&gt;</w:instrText>
      </w:r>
      <w:r w:rsidR="00A224D5">
        <w:rPr>
          <w:rFonts w:cstheme="minorHAnsi"/>
        </w:rPr>
        <w:fldChar w:fldCharType="separate"/>
      </w:r>
      <w:r w:rsidR="0002319C">
        <w:rPr>
          <w:rFonts w:cstheme="minorHAnsi"/>
          <w:noProof/>
        </w:rPr>
        <w:t>[12]</w:t>
      </w:r>
      <w:r w:rsidR="00A224D5">
        <w:rPr>
          <w:rFonts w:cstheme="minorHAnsi"/>
        </w:rPr>
        <w:fldChar w:fldCharType="end"/>
      </w:r>
    </w:p>
    <w:p w14:paraId="369D2477" w14:textId="522186D0" w:rsidR="00E60F8C" w:rsidRDefault="00ED200C" w:rsidP="005E4099">
      <w:pPr>
        <w:rPr>
          <w:rFonts w:cstheme="minorHAnsi"/>
          <w:b/>
        </w:rPr>
      </w:pPr>
      <w:r w:rsidRPr="004F5224">
        <w:rPr>
          <w:rFonts w:cstheme="minorHAnsi"/>
        </w:rPr>
        <w:t xml:space="preserve">For each </w:t>
      </w:r>
      <w:r w:rsidR="003C33E1">
        <w:rPr>
          <w:rFonts w:cstheme="minorHAnsi"/>
        </w:rPr>
        <w:t xml:space="preserve">non-HC </w:t>
      </w:r>
      <w:r w:rsidRPr="004F5224">
        <w:rPr>
          <w:rFonts w:cstheme="minorHAnsi"/>
        </w:rPr>
        <w:t xml:space="preserve">occupation, </w:t>
      </w:r>
      <w:r w:rsidR="004A222E" w:rsidRPr="004F5224">
        <w:rPr>
          <w:rFonts w:cstheme="minorHAnsi"/>
        </w:rPr>
        <w:t xml:space="preserve">information </w:t>
      </w:r>
      <w:r w:rsidR="004200A9" w:rsidRPr="004F5224">
        <w:rPr>
          <w:rFonts w:cstheme="minorHAnsi"/>
        </w:rPr>
        <w:t>on</w:t>
      </w:r>
      <w:r w:rsidR="004A222E" w:rsidRPr="004F5224">
        <w:rPr>
          <w:rFonts w:cstheme="minorHAnsi"/>
        </w:rPr>
        <w:t xml:space="preserve"> </w:t>
      </w:r>
      <w:r w:rsidR="004443F4" w:rsidRPr="004F5224">
        <w:rPr>
          <w:rFonts w:cstheme="minorHAnsi"/>
        </w:rPr>
        <w:t xml:space="preserve">the </w:t>
      </w:r>
      <w:r w:rsidRPr="004F5224">
        <w:rPr>
          <w:rFonts w:cstheme="minorHAnsi"/>
        </w:rPr>
        <w:t>level</w:t>
      </w:r>
      <w:r w:rsidR="004443F4" w:rsidRPr="004F5224">
        <w:rPr>
          <w:rFonts w:cstheme="minorHAnsi"/>
        </w:rPr>
        <w:t xml:space="preserve"> of </w:t>
      </w:r>
      <w:r w:rsidR="006B0550" w:rsidRPr="004F5224">
        <w:rPr>
          <w:rFonts w:cstheme="minorHAnsi"/>
        </w:rPr>
        <w:t xml:space="preserve">potential </w:t>
      </w:r>
      <w:r w:rsidR="004443F4" w:rsidRPr="004F5224">
        <w:rPr>
          <w:rFonts w:cstheme="minorHAnsi"/>
        </w:rPr>
        <w:t xml:space="preserve">exposure </w:t>
      </w:r>
      <w:r w:rsidR="006B0550" w:rsidRPr="004F5224">
        <w:rPr>
          <w:rFonts w:cstheme="minorHAnsi"/>
        </w:rPr>
        <w:t>(high to low</w:t>
      </w:r>
      <w:r w:rsidR="006B0550" w:rsidRPr="0027640C">
        <w:rPr>
          <w:rFonts w:cstheme="minorHAnsi"/>
        </w:rPr>
        <w:t xml:space="preserve">) </w:t>
      </w:r>
      <w:r w:rsidR="004443F4" w:rsidRPr="0027640C">
        <w:rPr>
          <w:rFonts w:cstheme="minorHAnsi"/>
        </w:rPr>
        <w:t>for each of the three risk factors,</w:t>
      </w:r>
      <w:r w:rsidR="004A222E" w:rsidRPr="0027640C">
        <w:rPr>
          <w:rFonts w:cstheme="minorHAnsi"/>
        </w:rPr>
        <w:t xml:space="preserve"> </w:t>
      </w:r>
      <w:r w:rsidR="004200A9" w:rsidRPr="0027640C">
        <w:rPr>
          <w:rFonts w:cstheme="minorHAnsi"/>
        </w:rPr>
        <w:t>together with</w:t>
      </w:r>
      <w:r w:rsidR="00482C50" w:rsidRPr="0027640C">
        <w:rPr>
          <w:rFonts w:cstheme="minorHAnsi"/>
        </w:rPr>
        <w:t xml:space="preserve"> national workforce estimates</w:t>
      </w:r>
      <w:r w:rsidR="00DD3A25" w:rsidRPr="0027640C">
        <w:rPr>
          <w:rFonts w:cstheme="minorHAnsi"/>
        </w:rPr>
        <w:t>,</w:t>
      </w:r>
      <w:r w:rsidR="00482C50" w:rsidRPr="0027640C">
        <w:rPr>
          <w:rFonts w:cstheme="minorHAnsi"/>
        </w:rPr>
        <w:t xml:space="preserve"> </w:t>
      </w:r>
      <w:r w:rsidR="00DF1FC0" w:rsidRPr="0027640C">
        <w:rPr>
          <w:rFonts w:cstheme="minorHAnsi"/>
        </w:rPr>
        <w:t>is</w:t>
      </w:r>
      <w:r w:rsidR="004A222E" w:rsidRPr="0027640C">
        <w:rPr>
          <w:rFonts w:cstheme="minorHAnsi"/>
        </w:rPr>
        <w:t xml:space="preserve"> </w:t>
      </w:r>
      <w:r w:rsidRPr="0027640C">
        <w:rPr>
          <w:rFonts w:cstheme="minorHAnsi"/>
        </w:rPr>
        <w:t>included in</w:t>
      </w:r>
      <w:r w:rsidR="004A222E" w:rsidRPr="0027640C">
        <w:rPr>
          <w:rFonts w:cstheme="minorHAnsi"/>
        </w:rPr>
        <w:t xml:space="preserve"> an Excel </w:t>
      </w:r>
      <w:r w:rsidR="007D1930" w:rsidRPr="0027640C">
        <w:rPr>
          <w:rFonts w:cstheme="minorHAnsi"/>
        </w:rPr>
        <w:t>file</w:t>
      </w:r>
      <w:r w:rsidRPr="0027640C">
        <w:rPr>
          <w:rFonts w:cstheme="minorHAnsi"/>
        </w:rPr>
        <w:t>,</w:t>
      </w:r>
      <w:r w:rsidR="004A222E" w:rsidRPr="0027640C">
        <w:rPr>
          <w:rFonts w:cstheme="minorHAnsi"/>
        </w:rPr>
        <w:t xml:space="preserve"> hereafter referred to</w:t>
      </w:r>
      <w:r w:rsidR="000B6362" w:rsidRPr="0027640C">
        <w:rPr>
          <w:rFonts w:cstheme="minorHAnsi"/>
        </w:rPr>
        <w:t xml:space="preserve"> </w:t>
      </w:r>
      <w:r w:rsidR="004A222E" w:rsidRPr="0027640C">
        <w:rPr>
          <w:rFonts w:cstheme="minorHAnsi"/>
        </w:rPr>
        <w:t xml:space="preserve">as the </w:t>
      </w:r>
      <w:r w:rsidR="00C45F7A" w:rsidRPr="008A780E">
        <w:rPr>
          <w:rFonts w:cstheme="minorHAnsi"/>
        </w:rPr>
        <w:t>S</w:t>
      </w:r>
      <w:r w:rsidR="00C45F7A">
        <w:rPr>
          <w:rFonts w:cstheme="minorHAnsi"/>
        </w:rPr>
        <w:t>ARS</w:t>
      </w:r>
      <w:r w:rsidR="004A222E" w:rsidRPr="008A780E">
        <w:rPr>
          <w:rFonts w:cstheme="minorHAnsi"/>
        </w:rPr>
        <w:t xml:space="preserve">-CoV-2 </w:t>
      </w:r>
      <w:r w:rsidR="008A780E" w:rsidRPr="008A780E">
        <w:rPr>
          <w:rFonts w:cstheme="minorHAnsi"/>
        </w:rPr>
        <w:t>Occupational</w:t>
      </w:r>
      <w:r w:rsidR="004A222E" w:rsidRPr="008A780E">
        <w:rPr>
          <w:rFonts w:cstheme="minorHAnsi"/>
        </w:rPr>
        <w:t xml:space="preserve"> Exposure </w:t>
      </w:r>
      <w:r w:rsidR="008A780E" w:rsidRPr="008A780E">
        <w:rPr>
          <w:rFonts w:cstheme="minorHAnsi"/>
        </w:rPr>
        <w:t>Matrix</w:t>
      </w:r>
      <w:r w:rsidR="004A222E" w:rsidRPr="008A780E">
        <w:rPr>
          <w:rFonts w:cstheme="minorHAnsi"/>
        </w:rPr>
        <w:t xml:space="preserve"> (S</w:t>
      </w:r>
      <w:r w:rsidR="008A780E" w:rsidRPr="008A780E">
        <w:rPr>
          <w:rFonts w:cstheme="minorHAnsi"/>
        </w:rPr>
        <w:t>OEM</w:t>
      </w:r>
      <w:r w:rsidR="004A222E" w:rsidRPr="008A780E">
        <w:rPr>
          <w:rFonts w:cstheme="minorHAnsi"/>
        </w:rPr>
        <w:t>)</w:t>
      </w:r>
      <w:r w:rsidR="00DB56BB" w:rsidRPr="008A780E">
        <w:rPr>
          <w:rFonts w:cstheme="minorHAnsi"/>
        </w:rPr>
        <w:t>,</w:t>
      </w:r>
      <w:r w:rsidR="004A222E" w:rsidRPr="008A780E">
        <w:rPr>
          <w:rFonts w:cstheme="minorHAnsi"/>
        </w:rPr>
        <w:t xml:space="preserve"> for use/adaptation by others</w:t>
      </w:r>
      <w:r w:rsidR="004F640D">
        <w:rPr>
          <w:rFonts w:cstheme="minorHAnsi"/>
        </w:rPr>
        <w:t xml:space="preserve"> (Appendix 1)</w:t>
      </w:r>
      <w:r w:rsidR="008F5168" w:rsidRPr="008A780E">
        <w:rPr>
          <w:rFonts w:cstheme="minorHAnsi"/>
        </w:rPr>
        <w:t>.</w:t>
      </w:r>
      <w:r w:rsidR="004443F4" w:rsidRPr="008A780E">
        <w:rPr>
          <w:rFonts w:cstheme="minorHAnsi"/>
        </w:rPr>
        <w:t xml:space="preserve"> The S</w:t>
      </w:r>
      <w:r w:rsidR="008A780E" w:rsidRPr="008A780E">
        <w:rPr>
          <w:rFonts w:cstheme="minorHAnsi"/>
        </w:rPr>
        <w:t>OEM</w:t>
      </w:r>
      <w:r w:rsidR="004443F4" w:rsidRPr="008A780E">
        <w:rPr>
          <w:rFonts w:cstheme="minorHAnsi"/>
        </w:rPr>
        <w:t xml:space="preserve"> is intended for use by epidemiologists examining patterns of COVID-19 </w:t>
      </w:r>
      <w:r w:rsidR="005340FB">
        <w:rPr>
          <w:rFonts w:cstheme="minorHAnsi"/>
        </w:rPr>
        <w:t xml:space="preserve">cases and outbreaks </w:t>
      </w:r>
      <w:r w:rsidR="00084B17" w:rsidRPr="008A780E">
        <w:rPr>
          <w:rFonts w:cstheme="minorHAnsi"/>
        </w:rPr>
        <w:t>to</w:t>
      </w:r>
      <w:r w:rsidR="00084B17" w:rsidRPr="0027640C">
        <w:rPr>
          <w:rFonts w:cstheme="minorHAnsi"/>
        </w:rPr>
        <w:t xml:space="preserve"> better understand the potential contribution of work to the COVID-19 burden overall and to observed racial and economic dispari</w:t>
      </w:r>
      <w:r w:rsidR="0056237D" w:rsidRPr="0027640C">
        <w:rPr>
          <w:rFonts w:cstheme="minorHAnsi"/>
        </w:rPr>
        <w:t>ties</w:t>
      </w:r>
      <w:r w:rsidR="002A59F4">
        <w:rPr>
          <w:rFonts w:cstheme="minorHAnsi"/>
        </w:rPr>
        <w:t xml:space="preserve"> </w:t>
      </w:r>
      <w:r w:rsidR="002A59F4" w:rsidRPr="0027640C">
        <w:rPr>
          <w:rFonts w:cstheme="minorHAnsi"/>
        </w:rPr>
        <w:t>in their states/jurisdictions</w:t>
      </w:r>
      <w:r w:rsidR="00084B17" w:rsidRPr="005340FB">
        <w:rPr>
          <w:rFonts w:cstheme="minorHAnsi"/>
        </w:rPr>
        <w:t>.</w:t>
      </w:r>
      <w:r w:rsidR="006024EC" w:rsidRPr="005340FB">
        <w:rPr>
          <w:rFonts w:cstheme="minorHAnsi"/>
        </w:rPr>
        <w:t xml:space="preserve"> </w:t>
      </w:r>
      <w:r w:rsidR="005340FB" w:rsidRPr="005340FB">
        <w:rPr>
          <w:rFonts w:cstheme="minorHAnsi"/>
        </w:rPr>
        <w:t xml:space="preserve">It may also be useful to policy makers in setting priorities for allocating prevention resources based on potential risk of exposure to SARS-CoV-2 </w:t>
      </w:r>
      <w:r w:rsidR="00AB181E">
        <w:rPr>
          <w:rFonts w:cstheme="minorHAnsi"/>
        </w:rPr>
        <w:t xml:space="preserve">when present in the workplace </w:t>
      </w:r>
      <w:r w:rsidR="005340FB" w:rsidRPr="005340FB">
        <w:rPr>
          <w:rFonts w:cstheme="minorHAnsi"/>
        </w:rPr>
        <w:t>in the absence of information on employment of COVID-19 cases.</w:t>
      </w:r>
    </w:p>
    <w:p w14:paraId="100B1C25" w14:textId="202EF9A2" w:rsidR="00E60F8C" w:rsidRDefault="00464398" w:rsidP="00DA2DAF">
      <w:pPr>
        <w:pStyle w:val="Heading1"/>
      </w:pPr>
      <w:r w:rsidRPr="0027640C">
        <w:t>Data sources</w:t>
      </w:r>
      <w:r w:rsidR="00855C26">
        <w:t xml:space="preserve"> </w:t>
      </w:r>
    </w:p>
    <w:p w14:paraId="42CCE4D0" w14:textId="4972C758" w:rsidR="00DA2DAF" w:rsidRDefault="002E4737" w:rsidP="00DA2DAF">
      <w:pPr>
        <w:pStyle w:val="Heading2"/>
      </w:pPr>
      <w:r w:rsidRPr="00A71F31">
        <w:t>O*NE</w:t>
      </w:r>
      <w:r w:rsidR="00C368C5" w:rsidRPr="00A71F31">
        <w:t>T</w:t>
      </w:r>
    </w:p>
    <w:p w14:paraId="78114411" w14:textId="127C3A15" w:rsidR="00CB0206" w:rsidRPr="00DA2DAF" w:rsidRDefault="009B4956" w:rsidP="005E4099">
      <w:pPr>
        <w:rPr>
          <w:rFonts w:cstheme="minorHAnsi"/>
          <w:b/>
        </w:rPr>
      </w:pPr>
      <w:r>
        <w:rPr>
          <w:rFonts w:cstheme="minorHAnsi"/>
        </w:rPr>
        <w:t>T</w:t>
      </w:r>
      <w:r w:rsidR="002E4737" w:rsidRPr="005F4CC4">
        <w:rPr>
          <w:rFonts w:cstheme="minorHAnsi"/>
        </w:rPr>
        <w:t xml:space="preserve">he Bureau of Labor Statistics </w:t>
      </w:r>
      <w:r w:rsidR="005D2BA7" w:rsidRPr="005F4CC4">
        <w:rPr>
          <w:rFonts w:cstheme="minorHAnsi"/>
        </w:rPr>
        <w:t>(BLS)</w:t>
      </w:r>
      <w:r>
        <w:rPr>
          <w:rFonts w:cstheme="minorHAnsi"/>
        </w:rPr>
        <w:t xml:space="preserve"> </w:t>
      </w:r>
      <w:r w:rsidR="002E4737" w:rsidRPr="005F4CC4">
        <w:rPr>
          <w:rFonts w:cstheme="minorHAnsi"/>
        </w:rPr>
        <w:t>O*NET program maintains a database of occupational characteristics and worker requirements</w:t>
      </w:r>
      <w:r w:rsidR="00BD344C">
        <w:rPr>
          <w:rFonts w:cstheme="minorHAnsi"/>
        </w:rPr>
        <w:t xml:space="preserve"> </w:t>
      </w:r>
      <w:r w:rsidR="00BD344C" w:rsidRPr="00BD344C">
        <w:rPr>
          <w:rFonts w:cstheme="minorHAnsi"/>
        </w:rPr>
        <w:t xml:space="preserve">for </w:t>
      </w:r>
      <w:r w:rsidR="00E04C89" w:rsidRPr="00BD344C">
        <w:rPr>
          <w:rFonts w:cstheme="minorHAnsi"/>
        </w:rPr>
        <w:t xml:space="preserve">over 800 detailed </w:t>
      </w:r>
      <w:r w:rsidR="0086000F" w:rsidRPr="00BD344C">
        <w:rPr>
          <w:rFonts w:cstheme="minorHAnsi"/>
        </w:rPr>
        <w:t>S</w:t>
      </w:r>
      <w:r w:rsidR="00E04C89" w:rsidRPr="00BD344C">
        <w:rPr>
          <w:rFonts w:cstheme="minorHAnsi"/>
        </w:rPr>
        <w:t>tandard</w:t>
      </w:r>
      <w:r w:rsidR="00E04C89" w:rsidRPr="005F4CC4">
        <w:rPr>
          <w:rFonts w:cstheme="minorHAnsi"/>
        </w:rPr>
        <w:t xml:space="preserve"> </w:t>
      </w:r>
      <w:r w:rsidR="0086000F">
        <w:rPr>
          <w:rFonts w:cstheme="minorHAnsi"/>
        </w:rPr>
        <w:t>O</w:t>
      </w:r>
      <w:r w:rsidR="00E04C89" w:rsidRPr="005F4CC4">
        <w:rPr>
          <w:rFonts w:cstheme="minorHAnsi"/>
        </w:rPr>
        <w:t xml:space="preserve">ccupation </w:t>
      </w:r>
      <w:r w:rsidR="0086000F">
        <w:rPr>
          <w:rFonts w:cstheme="minorHAnsi"/>
        </w:rPr>
        <w:t>C</w:t>
      </w:r>
      <w:r w:rsidR="00E04C89" w:rsidRPr="005F4CC4">
        <w:rPr>
          <w:rFonts w:cstheme="minorHAnsi"/>
        </w:rPr>
        <w:t>lassific</w:t>
      </w:r>
      <w:r w:rsidR="00A46AFA" w:rsidRPr="005F4CC4">
        <w:rPr>
          <w:rFonts w:cstheme="minorHAnsi"/>
        </w:rPr>
        <w:t>ations</w:t>
      </w:r>
      <w:r w:rsidR="00E04C89" w:rsidRPr="005F4CC4">
        <w:rPr>
          <w:rFonts w:cstheme="minorHAnsi"/>
        </w:rPr>
        <w:t xml:space="preserve"> (SOC)</w:t>
      </w:r>
      <w:r w:rsidR="00A46AFA" w:rsidRPr="005F4CC4">
        <w:rPr>
          <w:rFonts w:cstheme="minorHAnsi"/>
        </w:rPr>
        <w:t>.</w:t>
      </w:r>
      <w:r w:rsidR="00A224D5">
        <w:rPr>
          <w:rFonts w:cstheme="minorHAnsi"/>
        </w:rPr>
        <w:fldChar w:fldCharType="begin"/>
      </w:r>
      <w:r w:rsidR="0002319C">
        <w:rPr>
          <w:rFonts w:cstheme="minorHAnsi"/>
        </w:rPr>
        <w:instrText xml:space="preserve"> ADDIN EN.CITE &lt;EndNote&gt;&lt;Cite&gt;&lt;Author&gt;U. S. Department of Labor.&lt;/Author&gt;&lt;Year&gt;2020&lt;/Year&gt;&lt;RecNum&gt;13&lt;/RecNum&gt;&lt;DisplayText&gt;[13]&lt;/DisplayText&gt;&lt;record&gt;&lt;rec-number&gt;13&lt;/rec-number&gt;&lt;foreign-keys&gt;&lt;key app="EN" db-id="fev0zvzp3deftke0v2250x5xfrd59szftaet" timestamp="1613247805"&gt;13&lt;/key&gt;&lt;/foreign-keys&gt;&lt;ref-type name="Web Page"&gt;12&lt;/ref-type&gt;&lt;contributors&gt;&lt;authors&gt;&lt;author&gt;U. S. Department of Labor.,&lt;/author&gt;&lt;/authors&gt;&lt;/contributors&gt;&lt;titles&gt;&lt;title&gt;Department of Employment and Training. O*NET System&lt;/title&gt;&lt;/titles&gt;&lt;number&gt;October 7, 2020&lt;/number&gt;&lt;dates&gt;&lt;year&gt;2020&lt;/year&gt;&lt;/dates&gt;&lt;urls&gt;&lt;related-urls&gt;&lt;url&gt;https://www.dol.gov/agencies/eta/onet. &lt;/url&gt;&lt;/related-urls&gt;&lt;/urls&gt;&lt;/record&gt;&lt;/Cite&gt;&lt;/EndNote&gt;</w:instrText>
      </w:r>
      <w:r w:rsidR="00A224D5">
        <w:rPr>
          <w:rFonts w:cstheme="minorHAnsi"/>
        </w:rPr>
        <w:fldChar w:fldCharType="separate"/>
      </w:r>
      <w:r w:rsidR="0002319C">
        <w:rPr>
          <w:rFonts w:cstheme="minorHAnsi"/>
          <w:noProof/>
        </w:rPr>
        <w:t>[13]</w:t>
      </w:r>
      <w:r w:rsidR="00A224D5">
        <w:rPr>
          <w:rFonts w:cstheme="minorHAnsi"/>
        </w:rPr>
        <w:fldChar w:fldCharType="end"/>
      </w:r>
      <w:r w:rsidR="00C45F7A">
        <w:rPr>
          <w:rFonts w:cstheme="minorHAnsi"/>
        </w:rPr>
        <w:t xml:space="preserve"> </w:t>
      </w:r>
      <w:r w:rsidR="0055620B">
        <w:rPr>
          <w:rFonts w:cstheme="minorHAnsi"/>
        </w:rPr>
        <w:t xml:space="preserve"> </w:t>
      </w:r>
      <w:r w:rsidR="002E4737" w:rsidRPr="005F4CC4">
        <w:rPr>
          <w:rFonts w:cstheme="minorHAnsi"/>
        </w:rPr>
        <w:t xml:space="preserve">O*NET data are collected on an ongoing basis through surveys of workers in each occupation and occupational experts. </w:t>
      </w:r>
      <w:r w:rsidR="002F2033" w:rsidRPr="005F4CC4">
        <w:rPr>
          <w:rFonts w:cstheme="minorHAnsi"/>
        </w:rPr>
        <w:t xml:space="preserve">These data are regularly incorporated into new versions of the database to provide up-to-date information on occupations.  </w:t>
      </w:r>
      <w:r w:rsidR="002E4737" w:rsidRPr="005F4CC4">
        <w:rPr>
          <w:rFonts w:cstheme="minorHAnsi"/>
          <w:color w:val="000000" w:themeColor="text1"/>
        </w:rPr>
        <w:t>Responses to O*NET questions are collected using a Likert scale. To facilitate a more intuitive understanding of O*NET findings,</w:t>
      </w:r>
      <w:r w:rsidR="002E4737" w:rsidRPr="005F4CC4">
        <w:rPr>
          <w:rFonts w:cstheme="minorHAnsi"/>
          <w:color w:val="212529"/>
        </w:rPr>
        <w:t xml:space="preserve"> O*NET converts </w:t>
      </w:r>
      <w:r w:rsidR="002E4737" w:rsidRPr="005F4CC4">
        <w:rPr>
          <w:rFonts w:cstheme="minorHAnsi"/>
          <w:color w:val="000000" w:themeColor="text1"/>
        </w:rPr>
        <w:t>answers to all O*NET survey questions to a standardized scale with scores ranging from 0-100, with a score of 0 being lowest (e.g. not important/not close, never) and 100 being the highest (e.g.  important/very close, every day)</w:t>
      </w:r>
      <w:r w:rsidR="00CB0206">
        <w:rPr>
          <w:rFonts w:cstheme="minorHAnsi"/>
          <w:color w:val="000000" w:themeColor="text1"/>
        </w:rPr>
        <w:t>.</w:t>
      </w:r>
      <w:r w:rsidR="00C45F7A">
        <w:rPr>
          <w:rFonts w:cstheme="minorHAnsi"/>
          <w:color w:val="000000" w:themeColor="text1"/>
        </w:rPr>
        <w:fldChar w:fldCharType="begin"/>
      </w:r>
      <w:r w:rsidR="0002319C">
        <w:rPr>
          <w:rFonts w:cstheme="minorHAnsi"/>
          <w:color w:val="000000" w:themeColor="text1"/>
        </w:rPr>
        <w:instrText xml:space="preserve"> ADDIN EN.CITE &lt;EndNote&gt;&lt;Cite&gt;&lt;Author&gt;U. S. Department of Labor.&lt;/Author&gt;&lt;Year&gt;2020&lt;/Year&gt;&lt;RecNum&gt;14&lt;/RecNum&gt;&lt;DisplayText&gt;[14]&lt;/DisplayText&gt;&lt;record&gt;&lt;rec-number&gt;14&lt;/rec-number&gt;&lt;foreign-keys&gt;&lt;key app="EN" db-id="fev0zvzp3deftke0v2250x5xfrd59szftaet" timestamp="1613247851"&gt;14&lt;/key&gt;&lt;/foreign-keys&gt;&lt;ref-type name="Web Page"&gt;12&lt;/ref-type&gt;&lt;contributors&gt;&lt;authors&gt;&lt;author&gt;U. S. Department of Labor.,&lt;/author&gt;&lt;/authors&gt;&lt;/contributors&gt;&lt;titles&gt;&lt;title&gt;O*NET Help Online&lt;/title&gt;&lt;/titles&gt;&lt;number&gt;October 7, 2020&lt;/number&gt;&lt;dates&gt;&lt;year&gt;2020&lt;/year&gt;&lt;/dates&gt;&lt;urls&gt;&lt;related-urls&gt;&lt;url&gt;ttps://www.onetonline.org/help/online/scales#score&lt;/url&gt;&lt;/related-urls&gt;&lt;/urls&gt;&lt;/record&gt;&lt;/Cite&gt;&lt;/EndNote&gt;</w:instrText>
      </w:r>
      <w:r w:rsidR="00C45F7A">
        <w:rPr>
          <w:rFonts w:cstheme="minorHAnsi"/>
          <w:color w:val="000000" w:themeColor="text1"/>
        </w:rPr>
        <w:fldChar w:fldCharType="separate"/>
      </w:r>
      <w:r w:rsidR="0002319C">
        <w:rPr>
          <w:rFonts w:cstheme="minorHAnsi"/>
          <w:noProof/>
          <w:color w:val="000000" w:themeColor="text1"/>
        </w:rPr>
        <w:t>[14]</w:t>
      </w:r>
      <w:r w:rsidR="00C45F7A">
        <w:rPr>
          <w:rFonts w:cstheme="minorHAnsi"/>
          <w:color w:val="000000" w:themeColor="text1"/>
        </w:rPr>
        <w:fldChar w:fldCharType="end"/>
      </w:r>
      <w:r w:rsidR="0055620B">
        <w:rPr>
          <w:rFonts w:cstheme="minorHAnsi"/>
          <w:color w:val="000000" w:themeColor="text1"/>
        </w:rPr>
        <w:t xml:space="preserve"> </w:t>
      </w:r>
      <w:r w:rsidR="002E4737" w:rsidRPr="005F4CC4">
        <w:rPr>
          <w:rStyle w:val="FootnoteReference"/>
          <w:rFonts w:cstheme="minorHAnsi"/>
          <w:color w:val="000000" w:themeColor="text1"/>
        </w:rPr>
        <w:t xml:space="preserve"> </w:t>
      </w:r>
      <w:r w:rsidR="004160A2">
        <w:rPr>
          <w:rFonts w:cstheme="minorHAnsi"/>
          <w:color w:val="000000" w:themeColor="text1"/>
        </w:rPr>
        <w:t xml:space="preserve"> </w:t>
      </w:r>
      <w:r w:rsidR="002E4737" w:rsidRPr="005F4CC4">
        <w:rPr>
          <w:rFonts w:cstheme="minorHAnsi"/>
          <w:color w:val="000000" w:themeColor="text1"/>
        </w:rPr>
        <w:t xml:space="preserve">The score represents the weighted average score for each SOC. </w:t>
      </w:r>
      <w:r w:rsidR="00B11F87">
        <w:rPr>
          <w:rFonts w:cstheme="minorHAnsi"/>
          <w:color w:val="000000" w:themeColor="text1"/>
        </w:rPr>
        <w:t xml:space="preserve"> </w:t>
      </w:r>
      <w:r w:rsidR="002F2033" w:rsidRPr="005F4CC4">
        <w:rPr>
          <w:rFonts w:cstheme="minorHAnsi"/>
        </w:rPr>
        <w:t xml:space="preserve">O*NET </w:t>
      </w:r>
      <w:r w:rsidR="00FB73A7">
        <w:rPr>
          <w:rFonts w:cstheme="minorHAnsi"/>
        </w:rPr>
        <w:t>databases</w:t>
      </w:r>
      <w:r w:rsidR="002F2033" w:rsidRPr="005F4CC4">
        <w:rPr>
          <w:rFonts w:cstheme="minorHAnsi"/>
        </w:rPr>
        <w:t xml:space="preserve"> 24.3</w:t>
      </w:r>
      <w:r w:rsidR="00BD344C">
        <w:rPr>
          <w:rFonts w:cstheme="minorHAnsi"/>
        </w:rPr>
        <w:t xml:space="preserve"> and 25.0 were</w:t>
      </w:r>
      <w:r w:rsidR="002F2033" w:rsidRPr="005F4CC4">
        <w:rPr>
          <w:rFonts w:cstheme="minorHAnsi"/>
        </w:rPr>
        <w:t xml:space="preserve"> used for this</w:t>
      </w:r>
      <w:r w:rsidR="00E04C89" w:rsidRPr="005F4CC4">
        <w:rPr>
          <w:rFonts w:cstheme="minorHAnsi"/>
        </w:rPr>
        <w:t xml:space="preserve"> </w:t>
      </w:r>
      <w:r w:rsidR="005D2BA7" w:rsidRPr="005F4CC4">
        <w:rPr>
          <w:rFonts w:cstheme="minorHAnsi"/>
        </w:rPr>
        <w:t>project</w:t>
      </w:r>
      <w:r w:rsidR="00E04C89" w:rsidRPr="005F4CC4">
        <w:rPr>
          <w:rFonts w:cstheme="minorHAnsi"/>
        </w:rPr>
        <w:t>.</w:t>
      </w:r>
      <w:r w:rsidR="002F2033" w:rsidRPr="005F4CC4">
        <w:rPr>
          <w:rFonts w:cstheme="minorHAnsi"/>
        </w:rPr>
        <w:t xml:space="preserve"> </w:t>
      </w:r>
    </w:p>
    <w:p w14:paraId="685171BE" w14:textId="77777777" w:rsidR="00DA2DAF" w:rsidRDefault="005E4099" w:rsidP="00DA2DAF">
      <w:pPr>
        <w:pStyle w:val="Heading2"/>
        <w:rPr>
          <w:b/>
          <w:i/>
        </w:rPr>
      </w:pPr>
      <w:r w:rsidRPr="00A71F31">
        <w:t>Workforce estimates</w:t>
      </w:r>
      <w:r w:rsidR="00E04C89" w:rsidRPr="005F4CC4">
        <w:rPr>
          <w:b/>
          <w:i/>
        </w:rPr>
        <w:t>.</w:t>
      </w:r>
    </w:p>
    <w:p w14:paraId="6BD99444" w14:textId="32119A19" w:rsidR="00C45F7A" w:rsidRDefault="005E4099" w:rsidP="005E4099">
      <w:pPr>
        <w:rPr>
          <w:rFonts w:cstheme="minorHAnsi"/>
          <w:color w:val="000000" w:themeColor="text1"/>
        </w:rPr>
      </w:pPr>
      <w:r w:rsidRPr="005F4CC4">
        <w:rPr>
          <w:rFonts w:cstheme="minorHAnsi"/>
          <w:color w:val="000000" w:themeColor="text1"/>
        </w:rPr>
        <w:t xml:space="preserve">To provide information about </w:t>
      </w:r>
      <w:r w:rsidR="00E04C89" w:rsidRPr="005F4CC4">
        <w:rPr>
          <w:rFonts w:cstheme="minorHAnsi"/>
          <w:color w:val="000000" w:themeColor="text1"/>
        </w:rPr>
        <w:t xml:space="preserve">the </w:t>
      </w:r>
      <w:r w:rsidRPr="005F4CC4">
        <w:rPr>
          <w:rFonts w:cstheme="minorHAnsi"/>
          <w:color w:val="000000" w:themeColor="text1"/>
        </w:rPr>
        <w:t xml:space="preserve">potential extent of </w:t>
      </w:r>
      <w:r w:rsidR="005D2BA7" w:rsidRPr="005F4CC4">
        <w:rPr>
          <w:rFonts w:cstheme="minorHAnsi"/>
          <w:color w:val="000000" w:themeColor="text1"/>
        </w:rPr>
        <w:t>work-related</w:t>
      </w:r>
      <w:r w:rsidRPr="005F4CC4">
        <w:rPr>
          <w:rFonts w:cstheme="minorHAnsi"/>
          <w:color w:val="000000" w:themeColor="text1"/>
        </w:rPr>
        <w:t xml:space="preserve"> exposure to SARS-CoV-2, national workforce estimates for each SOC occupation </w:t>
      </w:r>
      <w:r w:rsidR="00E04C89" w:rsidRPr="005F4CC4">
        <w:rPr>
          <w:rFonts w:cstheme="minorHAnsi"/>
          <w:color w:val="000000" w:themeColor="text1"/>
        </w:rPr>
        <w:t xml:space="preserve">are included </w:t>
      </w:r>
      <w:r w:rsidRPr="005F4CC4">
        <w:rPr>
          <w:rFonts w:cstheme="minorHAnsi"/>
          <w:color w:val="000000" w:themeColor="text1"/>
        </w:rPr>
        <w:t xml:space="preserve">in the </w:t>
      </w:r>
      <w:r w:rsidR="00F51D29">
        <w:rPr>
          <w:rFonts w:cstheme="minorHAnsi"/>
          <w:color w:val="000000" w:themeColor="text1"/>
        </w:rPr>
        <w:t>SOEM</w:t>
      </w:r>
      <w:r w:rsidRPr="005F4CC4">
        <w:rPr>
          <w:rFonts w:cstheme="minorHAnsi"/>
          <w:color w:val="000000" w:themeColor="text1"/>
        </w:rPr>
        <w:t>.  These estimates were obtained from the BLS Occupational Employment Statistics (OES) Program, 2019 data</w:t>
      </w:r>
      <w:r w:rsidR="004160A2">
        <w:rPr>
          <w:rFonts w:cstheme="minorHAnsi"/>
          <w:color w:val="000000" w:themeColor="text1"/>
        </w:rPr>
        <w:t>.</w:t>
      </w:r>
      <w:r w:rsidR="00C45F7A">
        <w:rPr>
          <w:rFonts w:cstheme="minorHAnsi"/>
          <w:color w:val="000000" w:themeColor="text1"/>
        </w:rPr>
        <w:fldChar w:fldCharType="begin"/>
      </w:r>
      <w:r w:rsidR="0002319C">
        <w:rPr>
          <w:rFonts w:cstheme="minorHAnsi"/>
          <w:color w:val="000000" w:themeColor="text1"/>
        </w:rPr>
        <w:instrText xml:space="preserve"> ADDIN EN.CITE &lt;EndNote&gt;&lt;Cite&gt;&lt;Author&gt;U.S. Bureau of Labor Statistics&lt;/Author&gt;&lt;Year&gt;2019&lt;/Year&gt;&lt;RecNum&gt;12&lt;/RecNum&gt;&lt;DisplayText&gt;[12]&lt;/DisplayText&gt;&lt;record&gt;&lt;rec-number&gt;12&lt;/rec-number&gt;&lt;foreign-keys&gt;&lt;key app="EN" db-id="fev0zvzp3deftke0v2250x5xfrd59szftaet" timestamp="1613247406"&gt;12&lt;/key&gt;&lt;/foreign-keys&gt;&lt;ref-type name="Web Page"&gt;12&lt;/ref-type&gt;&lt;contributors&gt;&lt;authors&gt;&lt;author&gt;U.S. Bureau of Labor Statistics,&lt;/author&gt;&lt;/authors&gt;&lt;/contributors&gt;&lt;titles&gt;&lt;title&gt;Occupational Employment Statistics, National Employment Statistics&lt;/title&gt;&lt;/titles&gt;&lt;dates&gt;&lt;year&gt;2019&lt;/year&gt;&lt;/dates&gt;&lt;publisher&gt;U.S. Bureau of Labor Statistics&lt;/publisher&gt;&lt;urls&gt;&lt;/urls&gt;&lt;/record&gt;&lt;/Cite&gt;&lt;/EndNote&gt;</w:instrText>
      </w:r>
      <w:r w:rsidR="00C45F7A">
        <w:rPr>
          <w:rFonts w:cstheme="minorHAnsi"/>
          <w:color w:val="000000" w:themeColor="text1"/>
        </w:rPr>
        <w:fldChar w:fldCharType="separate"/>
      </w:r>
      <w:r w:rsidR="0002319C">
        <w:rPr>
          <w:rFonts w:cstheme="minorHAnsi"/>
          <w:noProof/>
          <w:color w:val="000000" w:themeColor="text1"/>
        </w:rPr>
        <w:t>[12]</w:t>
      </w:r>
      <w:r w:rsidR="00C45F7A">
        <w:rPr>
          <w:rFonts w:cstheme="minorHAnsi"/>
          <w:color w:val="000000" w:themeColor="text1"/>
        </w:rPr>
        <w:fldChar w:fldCharType="end"/>
      </w:r>
    </w:p>
    <w:p w14:paraId="5FE86266" w14:textId="1F7EF8B5" w:rsidR="0086000F" w:rsidRDefault="00EB343B" w:rsidP="005E4099">
      <w:pPr>
        <w:rPr>
          <w:rFonts w:cstheme="minorHAnsi"/>
          <w:color w:val="000000" w:themeColor="text1"/>
          <w:shd w:val="clear" w:color="auto" w:fill="FFFFFF"/>
        </w:rPr>
      </w:pPr>
      <w:r w:rsidRPr="001B1347">
        <w:rPr>
          <w:rFonts w:cstheme="minorHAnsi"/>
          <w:color w:val="333333"/>
          <w:shd w:val="clear" w:color="auto" w:fill="FFFFFF"/>
        </w:rPr>
        <w:t xml:space="preserve">While the OES survey excludes self-employed workers and workers on farms, it was the best available data source for national workforce estimates at the detailed 6-digit SOC level. </w:t>
      </w:r>
      <w:r w:rsidR="005E4099" w:rsidRPr="005F4CC4">
        <w:rPr>
          <w:rFonts w:cstheme="minorHAnsi"/>
          <w:color w:val="000000" w:themeColor="text1"/>
        </w:rPr>
        <w:t xml:space="preserve"> </w:t>
      </w:r>
      <w:r w:rsidR="005E4099" w:rsidRPr="005F4CC4">
        <w:rPr>
          <w:rFonts w:cstheme="minorHAnsi"/>
          <w:color w:val="000000" w:themeColor="text1"/>
          <w:shd w:val="clear" w:color="auto" w:fill="FFFFFF"/>
        </w:rPr>
        <w:t xml:space="preserve">Neither these estimates, nor O*NET descriptors, reflect changes </w:t>
      </w:r>
      <w:r w:rsidR="007C6E7B">
        <w:rPr>
          <w:rFonts w:cstheme="minorHAnsi"/>
          <w:color w:val="000000" w:themeColor="text1"/>
          <w:shd w:val="clear" w:color="auto" w:fill="FFFFFF"/>
        </w:rPr>
        <w:t>(i.e</w:t>
      </w:r>
      <w:r w:rsidR="002A59F4">
        <w:rPr>
          <w:rFonts w:cstheme="minorHAnsi"/>
          <w:color w:val="000000" w:themeColor="text1"/>
          <w:shd w:val="clear" w:color="auto" w:fill="FFFFFF"/>
        </w:rPr>
        <w:t>.</w:t>
      </w:r>
      <w:r w:rsidR="007C6E7B">
        <w:rPr>
          <w:rFonts w:cstheme="minorHAnsi"/>
          <w:color w:val="000000" w:themeColor="text1"/>
          <w:shd w:val="clear" w:color="auto" w:fill="FFFFFF"/>
        </w:rPr>
        <w:t xml:space="preserve"> furloughs, layoffs, work from home) </w:t>
      </w:r>
      <w:r w:rsidR="005E4099" w:rsidRPr="005F4CC4">
        <w:rPr>
          <w:rFonts w:cstheme="minorHAnsi"/>
          <w:color w:val="000000" w:themeColor="text1"/>
          <w:shd w:val="clear" w:color="auto" w:fill="FFFFFF"/>
        </w:rPr>
        <w:t xml:space="preserve">that have occurred as a result of the pandemic. States electing to make use of the </w:t>
      </w:r>
      <w:r w:rsidR="00F51D29">
        <w:rPr>
          <w:rFonts w:cstheme="minorHAnsi"/>
          <w:color w:val="000000" w:themeColor="text1"/>
          <w:shd w:val="clear" w:color="auto" w:fill="FFFFFF"/>
        </w:rPr>
        <w:t>SOEM</w:t>
      </w:r>
      <w:r w:rsidR="005E4099" w:rsidRPr="005F4CC4">
        <w:rPr>
          <w:rFonts w:cstheme="minorHAnsi"/>
          <w:color w:val="000000" w:themeColor="text1"/>
          <w:shd w:val="clear" w:color="auto" w:fill="FFFFFF"/>
        </w:rPr>
        <w:t xml:space="preserve"> should consider using state level workforce estimates. </w:t>
      </w:r>
    </w:p>
    <w:p w14:paraId="1F47E573" w14:textId="59AB31C2" w:rsidR="0086000F" w:rsidRPr="002A174A" w:rsidRDefault="0086000F" w:rsidP="00DA2DAF">
      <w:pPr>
        <w:pStyle w:val="Heading1"/>
        <w:rPr>
          <w:shd w:val="clear" w:color="auto" w:fill="FFFFFF"/>
          <w:vertAlign w:val="superscript"/>
        </w:rPr>
      </w:pPr>
      <w:r w:rsidRPr="0086000F">
        <w:rPr>
          <w:shd w:val="clear" w:color="auto" w:fill="FFFFFF"/>
        </w:rPr>
        <w:t>Classification of Occupation</w:t>
      </w:r>
      <w:r>
        <w:rPr>
          <w:shd w:val="clear" w:color="auto" w:fill="FFFFFF"/>
        </w:rPr>
        <w:t>s</w:t>
      </w:r>
      <w:r w:rsidR="00CF2408" w:rsidRPr="009D461A">
        <w:rPr>
          <w:rStyle w:val="FootnoteReference"/>
          <w:rFonts w:asciiTheme="minorHAnsi" w:hAnsiTheme="minorHAnsi" w:cstheme="minorHAnsi"/>
          <w:color w:val="000000" w:themeColor="text1"/>
          <w:shd w:val="clear" w:color="auto" w:fill="FFFFFF"/>
        </w:rPr>
        <w:footnoteReference w:id="3"/>
      </w:r>
    </w:p>
    <w:p w14:paraId="14008C01" w14:textId="6517F678" w:rsidR="0069380A" w:rsidRDefault="0069380A" w:rsidP="0069380A">
      <w:pPr>
        <w:pStyle w:val="FootnoteText"/>
        <w:rPr>
          <w:rFonts w:cstheme="minorHAnsi"/>
          <w:sz w:val="22"/>
          <w:szCs w:val="22"/>
        </w:rPr>
      </w:pPr>
      <w:r w:rsidRPr="00737414">
        <w:rPr>
          <w:rFonts w:cstheme="minorHAnsi"/>
          <w:sz w:val="22"/>
          <w:szCs w:val="22"/>
        </w:rPr>
        <w:t>We examined occupations coded to Standard Occupation Classifications (SOC) in order to take advantage of O*NET as a source of information about job characteristics. The SOC coding structure (2010 revision) is hierarchical with 23 major groups (2-digit codes) and 840 detailed occupations (6-digit codes).</w:t>
      </w:r>
      <w:r w:rsidR="00C45F7A">
        <w:rPr>
          <w:rFonts w:cstheme="minorHAnsi"/>
          <w:sz w:val="22"/>
          <w:szCs w:val="22"/>
        </w:rPr>
        <w:t xml:space="preserve"> </w:t>
      </w:r>
      <w:r w:rsidR="00C45F7A">
        <w:rPr>
          <w:rFonts w:cstheme="minorHAnsi"/>
          <w:sz w:val="22"/>
          <w:szCs w:val="22"/>
        </w:rPr>
        <w:fldChar w:fldCharType="begin"/>
      </w:r>
      <w:r w:rsidR="0002319C">
        <w:rPr>
          <w:rFonts w:cstheme="minorHAnsi"/>
          <w:sz w:val="22"/>
          <w:szCs w:val="22"/>
        </w:rPr>
        <w:instrText xml:space="preserve"> ADDIN EN.CITE &lt;EndNote&gt;&lt;Cite&gt;&lt;Author&gt;U.S. Bureau of Labor Statistics&lt;/Author&gt;&lt;Year&gt;2010&lt;/Year&gt;&lt;RecNum&gt;15&lt;/RecNum&gt;&lt;DisplayText&gt;[15]&lt;/DisplayText&gt;&lt;record&gt;&lt;rec-number&gt;15&lt;/rec-number&gt;&lt;foreign-keys&gt;&lt;key app="EN" db-id="fev0zvzp3deftke0v2250x5xfrd59szftaet" timestamp="1613248228"&gt;15&lt;/key&gt;&lt;/foreign-keys&gt;&lt;ref-type name="Web Page"&gt;12&lt;/ref-type&gt;&lt;contributors&gt;&lt;authors&gt;&lt;author&gt;U.S. Bureau of Labor Statistics, &lt;/author&gt;&lt;/authors&gt;&lt;/contributors&gt;&lt;titles&gt;&lt;title&gt;Standard Occupational Classification System, Users Guide, February 2010&lt;/title&gt;&lt;/titles&gt;&lt;number&gt;October 7, 2020&lt;/number&gt;&lt;dates&gt;&lt;year&gt;2010&lt;/year&gt;&lt;/dates&gt;&lt;publisher&gt;U.S. Bureau of Labor Statistics&lt;/publisher&gt;&lt;urls&gt;&lt;related-urls&gt;&lt;url&gt;https://www.bls.gov/soc/soc_2010_user_guide.pdf&lt;/url&gt;&lt;/related-urls&gt;&lt;/urls&gt;&lt;/record&gt;&lt;/Cite&gt;&lt;/EndNote&gt;</w:instrText>
      </w:r>
      <w:r w:rsidR="00C45F7A">
        <w:rPr>
          <w:rFonts w:cstheme="minorHAnsi"/>
          <w:sz w:val="22"/>
          <w:szCs w:val="22"/>
        </w:rPr>
        <w:fldChar w:fldCharType="separate"/>
      </w:r>
      <w:r w:rsidR="0002319C">
        <w:rPr>
          <w:rFonts w:cstheme="minorHAnsi"/>
          <w:noProof/>
          <w:sz w:val="22"/>
          <w:szCs w:val="22"/>
        </w:rPr>
        <w:t>[15]</w:t>
      </w:r>
      <w:r w:rsidR="00C45F7A">
        <w:rPr>
          <w:rFonts w:cstheme="minorHAnsi"/>
          <w:sz w:val="22"/>
          <w:szCs w:val="22"/>
        </w:rPr>
        <w:fldChar w:fldCharType="end"/>
      </w:r>
      <w:r w:rsidR="00DB6808">
        <w:rPr>
          <w:rFonts w:cstheme="minorHAnsi"/>
          <w:sz w:val="22"/>
          <w:szCs w:val="22"/>
        </w:rPr>
        <w:t xml:space="preserve">  </w:t>
      </w:r>
      <w:r w:rsidRPr="00737414">
        <w:rPr>
          <w:rFonts w:cstheme="minorHAnsi"/>
          <w:sz w:val="22"/>
          <w:szCs w:val="22"/>
        </w:rPr>
        <w:t>O*NET includes a number of additional, more detailed (8-digit) “O*NET only” SOC occupations</w:t>
      </w:r>
      <w:r w:rsidRPr="00737414">
        <w:rPr>
          <w:rStyle w:val="FootnoteReference"/>
          <w:rFonts w:cstheme="minorHAnsi"/>
          <w:sz w:val="22"/>
          <w:szCs w:val="22"/>
        </w:rPr>
        <w:footnoteReference w:id="4"/>
      </w:r>
      <w:r w:rsidR="0055620B">
        <w:rPr>
          <w:rFonts w:cstheme="minorHAnsi"/>
          <w:sz w:val="22"/>
          <w:szCs w:val="22"/>
        </w:rPr>
        <w:t>.</w:t>
      </w:r>
      <w:r w:rsidRPr="00737414">
        <w:rPr>
          <w:rFonts w:cstheme="minorHAnsi"/>
          <w:sz w:val="22"/>
          <w:szCs w:val="22"/>
        </w:rPr>
        <w:t xml:space="preserve"> </w:t>
      </w:r>
    </w:p>
    <w:p w14:paraId="441CAD51" w14:textId="635734B4" w:rsidR="0070402D" w:rsidRPr="00DA2DAF" w:rsidRDefault="0069380A" w:rsidP="00DA2DAF">
      <w:pPr>
        <w:pStyle w:val="FootnoteText"/>
        <w:rPr>
          <w:rFonts w:cstheme="minorHAnsi"/>
          <w:sz w:val="22"/>
          <w:szCs w:val="22"/>
        </w:rPr>
      </w:pPr>
      <w:r w:rsidRPr="00737414">
        <w:rPr>
          <w:rFonts w:cstheme="minorHAnsi"/>
          <w:sz w:val="22"/>
          <w:szCs w:val="22"/>
        </w:rPr>
        <w:t xml:space="preserve">Occupations can also be coded according to the </w:t>
      </w:r>
      <w:bookmarkStart w:id="0" w:name="_Hlk80025303"/>
      <w:r w:rsidRPr="00737414">
        <w:rPr>
          <w:rFonts w:cstheme="minorHAnsi"/>
          <w:sz w:val="22"/>
          <w:szCs w:val="22"/>
        </w:rPr>
        <w:t xml:space="preserve">Census Occupation Classification </w:t>
      </w:r>
      <w:bookmarkEnd w:id="0"/>
      <w:r>
        <w:rPr>
          <w:rFonts w:cstheme="minorHAnsi"/>
          <w:sz w:val="22"/>
          <w:szCs w:val="22"/>
        </w:rPr>
        <w:t xml:space="preserve">(COC) </w:t>
      </w:r>
      <w:r w:rsidRPr="00737414">
        <w:rPr>
          <w:rFonts w:cstheme="minorHAnsi"/>
          <w:sz w:val="22"/>
          <w:szCs w:val="22"/>
        </w:rPr>
        <w:t>system</w:t>
      </w:r>
      <w:r>
        <w:rPr>
          <w:rFonts w:cstheme="minorHAnsi"/>
          <w:sz w:val="22"/>
          <w:szCs w:val="22"/>
        </w:rPr>
        <w:t xml:space="preserve">, </w:t>
      </w:r>
      <w:r w:rsidR="00CA3D28">
        <w:rPr>
          <w:rFonts w:cstheme="minorHAnsi"/>
          <w:sz w:val="22"/>
          <w:szCs w:val="22"/>
        </w:rPr>
        <w:t xml:space="preserve">developed by the U.S. Census Bureau, </w:t>
      </w:r>
      <w:r>
        <w:rPr>
          <w:rFonts w:cstheme="minorHAnsi"/>
          <w:sz w:val="22"/>
          <w:szCs w:val="22"/>
        </w:rPr>
        <w:t>which includes 540 occupations (2010 Revision).</w:t>
      </w:r>
      <w:r w:rsidR="00C45F7A">
        <w:rPr>
          <w:rFonts w:cstheme="minorHAnsi"/>
          <w:sz w:val="22"/>
          <w:szCs w:val="22"/>
        </w:rPr>
        <w:fldChar w:fldCharType="begin"/>
      </w:r>
      <w:r w:rsidR="0002319C">
        <w:rPr>
          <w:rFonts w:cstheme="minorHAnsi"/>
          <w:sz w:val="22"/>
          <w:szCs w:val="22"/>
        </w:rPr>
        <w:instrText xml:space="preserve"> ADDIN EN.CITE &lt;EndNote&gt;&lt;Cite&gt;&lt;Author&gt;U.S. Census Bureau&lt;/Author&gt;&lt;Year&gt;2010&lt;/Year&gt;&lt;RecNum&gt;16&lt;/RecNum&gt;&lt;DisplayText&gt;[16]&lt;/DisplayText&gt;&lt;record&gt;&lt;rec-number&gt;16&lt;/rec-number&gt;&lt;foreign-keys&gt;&lt;key app="EN" db-id="fev0zvzp3deftke0v2250x5xfrd59szftaet" timestamp="1613248407"&gt;16&lt;/key&gt;&lt;/foreign-keys&gt;&lt;ref-type name="Web Page"&gt;12&lt;/ref-type&gt;&lt;contributors&gt;&lt;authors&gt;&lt;author&gt;U.S. Census Bureau,&lt;/author&gt;&lt;/authors&gt;&lt;/contributors&gt;&lt;titles&gt;&lt;title&gt;Industry and Occupation Classification&lt;/title&gt;&lt;/titles&gt;&lt;number&gt;October 7, 2020&lt;/number&gt;&lt;dates&gt;&lt;year&gt;2010&lt;/year&gt;&lt;/dates&gt;&lt;urls&gt;&lt;related-urls&gt;&lt;url&gt;https://www.census.gov/programs-surveys/cps/technical-documentation/methodology/industry-and-occupation-classification.html&lt;/url&gt;&lt;/related-urls&gt;&lt;/urls&gt;&lt;/record&gt;&lt;/Cite&gt;&lt;/EndNote&gt;</w:instrText>
      </w:r>
      <w:r w:rsidR="00C45F7A">
        <w:rPr>
          <w:rFonts w:cstheme="minorHAnsi"/>
          <w:sz w:val="22"/>
          <w:szCs w:val="22"/>
        </w:rPr>
        <w:fldChar w:fldCharType="separate"/>
      </w:r>
      <w:r w:rsidR="0002319C">
        <w:rPr>
          <w:rFonts w:cstheme="minorHAnsi"/>
          <w:noProof/>
          <w:sz w:val="22"/>
          <w:szCs w:val="22"/>
        </w:rPr>
        <w:t>[16]</w:t>
      </w:r>
      <w:r w:rsidR="00C45F7A">
        <w:rPr>
          <w:rFonts w:cstheme="minorHAnsi"/>
          <w:sz w:val="22"/>
          <w:szCs w:val="22"/>
        </w:rPr>
        <w:fldChar w:fldCharType="end"/>
      </w:r>
      <w:r w:rsidRPr="00737414">
        <w:rPr>
          <w:rFonts w:cstheme="minorHAnsi"/>
          <w:sz w:val="22"/>
          <w:szCs w:val="22"/>
        </w:rPr>
        <w:t xml:space="preserve">  </w:t>
      </w:r>
      <w:r>
        <w:rPr>
          <w:rFonts w:cstheme="minorHAnsi"/>
          <w:sz w:val="22"/>
          <w:szCs w:val="22"/>
        </w:rPr>
        <w:t xml:space="preserve">The COC </w:t>
      </w:r>
      <w:r w:rsidRPr="00737414">
        <w:rPr>
          <w:rFonts w:cstheme="minorHAnsi"/>
          <w:sz w:val="22"/>
          <w:szCs w:val="22"/>
        </w:rPr>
        <w:t>coding structure is based on SOC</w:t>
      </w:r>
      <w:r w:rsidR="000E557E">
        <w:rPr>
          <w:rFonts w:cstheme="minorHAnsi"/>
          <w:sz w:val="22"/>
          <w:szCs w:val="22"/>
        </w:rPr>
        <w:t>,</w:t>
      </w:r>
      <w:r w:rsidRPr="00737414">
        <w:rPr>
          <w:rFonts w:cstheme="minorHAnsi"/>
          <w:sz w:val="22"/>
          <w:szCs w:val="22"/>
        </w:rPr>
        <w:t xml:space="preserve"> and</w:t>
      </w:r>
      <w:r>
        <w:rPr>
          <w:rFonts w:cstheme="minorHAnsi"/>
          <w:sz w:val="22"/>
          <w:szCs w:val="22"/>
        </w:rPr>
        <w:t xml:space="preserve"> </w:t>
      </w:r>
      <w:r w:rsidRPr="00737414">
        <w:rPr>
          <w:rFonts w:cstheme="minorHAnsi"/>
          <w:sz w:val="22"/>
          <w:szCs w:val="22"/>
        </w:rPr>
        <w:t>COC and SOC codes can be cross-walked. However, the COC is less granular, i.e., in multiple instances, several detailed SOC (6-digit) codes are assigned to</w:t>
      </w:r>
      <w:r w:rsidRPr="001B1347">
        <w:rPr>
          <w:rFonts w:cstheme="minorHAnsi"/>
          <w:sz w:val="22"/>
          <w:szCs w:val="22"/>
        </w:rPr>
        <w:t xml:space="preserve"> one COC (4-digit). </w:t>
      </w:r>
      <w:r w:rsidR="00584E11">
        <w:rPr>
          <w:rFonts w:cstheme="minorHAnsi"/>
          <w:sz w:val="22"/>
          <w:szCs w:val="22"/>
        </w:rPr>
        <w:t xml:space="preserve"> </w:t>
      </w:r>
      <w:r w:rsidR="00B11E19">
        <w:rPr>
          <w:rFonts w:cstheme="minorHAnsi"/>
          <w:sz w:val="22"/>
          <w:szCs w:val="22"/>
        </w:rPr>
        <w:t xml:space="preserve">Because </w:t>
      </w:r>
      <w:r w:rsidR="00375067">
        <w:rPr>
          <w:rFonts w:cstheme="minorHAnsi"/>
          <w:sz w:val="22"/>
          <w:szCs w:val="22"/>
        </w:rPr>
        <w:t xml:space="preserve">data sources commonly used by states for employment statistics, </w:t>
      </w:r>
      <w:r w:rsidR="003F6BB3">
        <w:rPr>
          <w:rFonts w:cstheme="minorHAnsi"/>
          <w:sz w:val="22"/>
          <w:szCs w:val="22"/>
        </w:rPr>
        <w:t>for example,</w:t>
      </w:r>
      <w:r w:rsidR="00375067">
        <w:rPr>
          <w:rFonts w:cstheme="minorHAnsi"/>
          <w:sz w:val="22"/>
          <w:szCs w:val="22"/>
        </w:rPr>
        <w:t xml:space="preserve"> the Current Population Su</w:t>
      </w:r>
      <w:r w:rsidR="00CA3D28">
        <w:rPr>
          <w:rFonts w:cstheme="minorHAnsi"/>
          <w:sz w:val="22"/>
          <w:szCs w:val="22"/>
        </w:rPr>
        <w:t>r</w:t>
      </w:r>
      <w:r w:rsidR="00375067">
        <w:rPr>
          <w:rFonts w:cstheme="minorHAnsi"/>
          <w:sz w:val="22"/>
          <w:szCs w:val="22"/>
        </w:rPr>
        <w:t>vey, code occupation to COC, w</w:t>
      </w:r>
      <w:r w:rsidR="00584E11">
        <w:rPr>
          <w:rFonts w:cstheme="minorHAnsi"/>
          <w:sz w:val="22"/>
          <w:szCs w:val="22"/>
        </w:rPr>
        <w:t>e have cross-walked our findings from SOC to COC</w:t>
      </w:r>
      <w:r w:rsidR="00CA3D28">
        <w:rPr>
          <w:rFonts w:cstheme="minorHAnsi"/>
          <w:sz w:val="22"/>
          <w:szCs w:val="22"/>
        </w:rPr>
        <w:t xml:space="preserve"> and the</w:t>
      </w:r>
      <w:r w:rsidR="00375067">
        <w:rPr>
          <w:rFonts w:cstheme="minorHAnsi"/>
          <w:sz w:val="22"/>
          <w:szCs w:val="22"/>
        </w:rPr>
        <w:t xml:space="preserve"> </w:t>
      </w:r>
      <w:r w:rsidR="00CD18F5" w:rsidRPr="00CD18F5">
        <w:rPr>
          <w:sz w:val="22"/>
          <w:szCs w:val="22"/>
        </w:rPr>
        <w:t xml:space="preserve">SOEM lists occupations classified </w:t>
      </w:r>
      <w:r w:rsidR="00584E11">
        <w:rPr>
          <w:sz w:val="22"/>
          <w:szCs w:val="22"/>
        </w:rPr>
        <w:t>by both systems</w:t>
      </w:r>
      <w:r w:rsidR="0083501A">
        <w:rPr>
          <w:sz w:val="22"/>
          <w:szCs w:val="22"/>
        </w:rPr>
        <w:t>.</w:t>
      </w:r>
      <w:r w:rsidR="00CA3D28">
        <w:rPr>
          <w:rStyle w:val="FootnoteReference"/>
          <w:sz w:val="22"/>
          <w:szCs w:val="22"/>
        </w:rPr>
        <w:footnoteReference w:id="5"/>
      </w:r>
      <w:r w:rsidR="0083501A">
        <w:rPr>
          <w:sz w:val="22"/>
          <w:szCs w:val="22"/>
        </w:rPr>
        <w:t xml:space="preserve"> </w:t>
      </w:r>
      <w:r w:rsidR="00584E11">
        <w:rPr>
          <w:sz w:val="22"/>
          <w:szCs w:val="22"/>
        </w:rPr>
        <w:t xml:space="preserve"> </w:t>
      </w:r>
      <w:r w:rsidR="00CD18F5">
        <w:rPr>
          <w:rFonts w:cstheme="minorHAnsi"/>
          <w:sz w:val="22"/>
          <w:szCs w:val="22"/>
        </w:rPr>
        <w:t>For simp</w:t>
      </w:r>
      <w:r w:rsidR="00584E11">
        <w:rPr>
          <w:rFonts w:cstheme="minorHAnsi"/>
          <w:sz w:val="22"/>
          <w:szCs w:val="22"/>
        </w:rPr>
        <w:t>licity</w:t>
      </w:r>
      <w:r w:rsidR="00CD18F5">
        <w:rPr>
          <w:rFonts w:cstheme="minorHAnsi"/>
          <w:sz w:val="22"/>
          <w:szCs w:val="22"/>
        </w:rPr>
        <w:t xml:space="preserve">, summary tables in this </w:t>
      </w:r>
      <w:r w:rsidR="00C56A0E">
        <w:rPr>
          <w:rFonts w:cstheme="minorHAnsi"/>
          <w:sz w:val="22"/>
          <w:szCs w:val="22"/>
        </w:rPr>
        <w:t xml:space="preserve">document </w:t>
      </w:r>
      <w:r w:rsidR="006024EC">
        <w:rPr>
          <w:rFonts w:cstheme="minorHAnsi"/>
          <w:sz w:val="22"/>
          <w:szCs w:val="22"/>
        </w:rPr>
        <w:t>present findings</w:t>
      </w:r>
      <w:r w:rsidR="00DB6808">
        <w:rPr>
          <w:rFonts w:cstheme="minorHAnsi"/>
          <w:sz w:val="22"/>
          <w:szCs w:val="22"/>
        </w:rPr>
        <w:t xml:space="preserve"> based on</w:t>
      </w:r>
      <w:r w:rsidR="006024EC">
        <w:rPr>
          <w:rFonts w:cstheme="minorHAnsi"/>
          <w:sz w:val="22"/>
          <w:szCs w:val="22"/>
        </w:rPr>
        <w:t xml:space="preserve"> </w:t>
      </w:r>
      <w:r w:rsidR="00CD18F5">
        <w:rPr>
          <w:rFonts w:cstheme="minorHAnsi"/>
          <w:sz w:val="22"/>
          <w:szCs w:val="22"/>
        </w:rPr>
        <w:t xml:space="preserve">SOC; similar tables </w:t>
      </w:r>
      <w:r w:rsidR="00B11E19">
        <w:rPr>
          <w:rFonts w:cstheme="minorHAnsi"/>
          <w:sz w:val="22"/>
          <w:szCs w:val="22"/>
        </w:rPr>
        <w:t>presenting</w:t>
      </w:r>
      <w:r w:rsidR="00CD18F5">
        <w:rPr>
          <w:rFonts w:cstheme="minorHAnsi"/>
          <w:sz w:val="22"/>
          <w:szCs w:val="22"/>
        </w:rPr>
        <w:t xml:space="preserve"> </w:t>
      </w:r>
      <w:r w:rsidR="006024EC">
        <w:rPr>
          <w:rFonts w:cstheme="minorHAnsi"/>
          <w:sz w:val="22"/>
          <w:szCs w:val="22"/>
        </w:rPr>
        <w:t xml:space="preserve">findings </w:t>
      </w:r>
      <w:r w:rsidR="00CD18F5">
        <w:rPr>
          <w:rFonts w:cstheme="minorHAnsi"/>
          <w:sz w:val="22"/>
          <w:szCs w:val="22"/>
        </w:rPr>
        <w:t xml:space="preserve">by COC are included in Appendix </w:t>
      </w:r>
      <w:r w:rsidR="00AD05F1" w:rsidRPr="00E60F8C">
        <w:rPr>
          <w:rFonts w:cstheme="minorHAnsi"/>
          <w:sz w:val="22"/>
          <w:szCs w:val="22"/>
        </w:rPr>
        <w:t>2</w:t>
      </w:r>
      <w:r w:rsidR="00CD18F5" w:rsidRPr="00E60F8C">
        <w:rPr>
          <w:rFonts w:cstheme="minorHAnsi"/>
          <w:sz w:val="22"/>
          <w:szCs w:val="22"/>
        </w:rPr>
        <w:t>.</w:t>
      </w:r>
      <w:r w:rsidR="00002281">
        <w:rPr>
          <w:rFonts w:cstheme="minorHAnsi"/>
          <w:sz w:val="22"/>
          <w:szCs w:val="22"/>
        </w:rPr>
        <w:t xml:space="preserve">  </w:t>
      </w:r>
    </w:p>
    <w:p w14:paraId="6998D52A" w14:textId="238DD8CD" w:rsidR="00E60F8C" w:rsidRPr="005F4CC4" w:rsidRDefault="00DB6808" w:rsidP="00DA2DAF">
      <w:pPr>
        <w:pStyle w:val="Heading2"/>
      </w:pPr>
      <w:r w:rsidRPr="00DB6808">
        <w:t xml:space="preserve">Section 1. </w:t>
      </w:r>
      <w:r w:rsidR="00374C53" w:rsidRPr="00DB6808">
        <w:t>D</w:t>
      </w:r>
      <w:r w:rsidR="00E04C89" w:rsidRPr="00DB6808">
        <w:t xml:space="preserve">eveloping </w:t>
      </w:r>
      <w:r w:rsidR="00374C53" w:rsidRPr="00DB6808">
        <w:t xml:space="preserve">a </w:t>
      </w:r>
      <w:r w:rsidR="00E04C89" w:rsidRPr="00DB6808">
        <w:t>measure of potential exposure for each risk factor</w:t>
      </w:r>
    </w:p>
    <w:p w14:paraId="7868FB7E" w14:textId="13C2EA2C" w:rsidR="005D2BA7" w:rsidRPr="00DA2DAF" w:rsidRDefault="007C6E7B" w:rsidP="005D2BA7">
      <w:pPr>
        <w:rPr>
          <w:rFonts w:cstheme="minorHAnsi"/>
        </w:rPr>
      </w:pPr>
      <w:r>
        <w:rPr>
          <w:rFonts w:cstheme="minorHAnsi"/>
        </w:rPr>
        <w:t xml:space="preserve">To develop an ordinal measure of level of exposure for each of the three risk factors </w:t>
      </w:r>
      <w:r w:rsidR="0007032A" w:rsidRPr="005F4CC4">
        <w:rPr>
          <w:rFonts w:cstheme="minorHAnsi"/>
        </w:rPr>
        <w:t xml:space="preserve">– </w:t>
      </w:r>
      <w:r w:rsidR="00AB7B20" w:rsidRPr="005F4CC4">
        <w:rPr>
          <w:rFonts w:cstheme="minorHAnsi"/>
          <w:i/>
        </w:rPr>
        <w:t>Public Facing</w:t>
      </w:r>
      <w:r w:rsidR="00AB7B20" w:rsidRPr="005F4CC4">
        <w:rPr>
          <w:rFonts w:cstheme="minorHAnsi"/>
        </w:rPr>
        <w:t xml:space="preserve"> work, </w:t>
      </w:r>
      <w:r w:rsidR="00AB7B20" w:rsidRPr="005F4CC4">
        <w:rPr>
          <w:rFonts w:cstheme="minorHAnsi"/>
          <w:i/>
        </w:rPr>
        <w:t>Working Indoors</w:t>
      </w:r>
      <w:r w:rsidR="00AB7B20" w:rsidRPr="005F4CC4">
        <w:rPr>
          <w:rFonts w:cstheme="minorHAnsi"/>
        </w:rPr>
        <w:t xml:space="preserve">, and </w:t>
      </w:r>
      <w:r w:rsidR="00AB7B20" w:rsidRPr="005F4CC4">
        <w:rPr>
          <w:rFonts w:cstheme="minorHAnsi"/>
          <w:i/>
        </w:rPr>
        <w:t>Close Proximity</w:t>
      </w:r>
      <w:r>
        <w:rPr>
          <w:rFonts w:cstheme="minorHAnsi"/>
          <w:i/>
        </w:rPr>
        <w:t xml:space="preserve">, </w:t>
      </w:r>
      <w:r w:rsidR="001812A9">
        <w:rPr>
          <w:rFonts w:cstheme="minorHAnsi"/>
        </w:rPr>
        <w:t xml:space="preserve">we took the following steps: </w:t>
      </w:r>
    </w:p>
    <w:p w14:paraId="154310EE" w14:textId="379E4837" w:rsidR="00390CAD" w:rsidRDefault="0007032A" w:rsidP="001C48F6">
      <w:pPr>
        <w:rPr>
          <w:rFonts w:cstheme="minorHAnsi"/>
        </w:rPr>
      </w:pPr>
      <w:r w:rsidRPr="005F4CC4">
        <w:rPr>
          <w:rFonts w:cstheme="minorHAnsi"/>
          <w:u w:val="single"/>
        </w:rPr>
        <w:t>Identification of O*NET questions to use</w:t>
      </w:r>
      <w:r w:rsidRPr="005F4CC4">
        <w:rPr>
          <w:rFonts w:cstheme="minorHAnsi"/>
          <w:i/>
        </w:rPr>
        <w:t>.</w:t>
      </w:r>
      <w:r w:rsidRPr="005F4CC4">
        <w:rPr>
          <w:rFonts w:cstheme="minorHAnsi"/>
        </w:rPr>
        <w:t xml:space="preserve"> For each risk factor, we first reviewed the O*NET questionnaires </w:t>
      </w:r>
      <w:r w:rsidR="00374C53" w:rsidRPr="005F4CC4">
        <w:rPr>
          <w:rFonts w:cstheme="minorHAnsi"/>
        </w:rPr>
        <w:t xml:space="preserve">and </w:t>
      </w:r>
      <w:r w:rsidR="007C6E7B">
        <w:rPr>
          <w:rFonts w:cstheme="minorHAnsi"/>
        </w:rPr>
        <w:t xml:space="preserve">available </w:t>
      </w:r>
      <w:r w:rsidR="00374C53" w:rsidRPr="005F4CC4">
        <w:rPr>
          <w:rFonts w:cstheme="minorHAnsi"/>
        </w:rPr>
        <w:t xml:space="preserve">research </w:t>
      </w:r>
      <w:r w:rsidR="007C6E7B">
        <w:rPr>
          <w:rFonts w:cstheme="minorHAnsi"/>
        </w:rPr>
        <w:t xml:space="preserve">studies </w:t>
      </w:r>
      <w:r w:rsidRPr="005F4CC4">
        <w:rPr>
          <w:rFonts w:cstheme="minorHAnsi"/>
        </w:rPr>
        <w:t>to identify potentially relevant questions and their apparent strengths and limitations with respect to classifying exposure to SARS-CoV-2.</w:t>
      </w:r>
      <w:r w:rsidR="001812A9">
        <w:rPr>
          <w:rFonts w:cstheme="minorHAnsi"/>
        </w:rPr>
        <w:t xml:space="preserve"> </w:t>
      </w:r>
      <w:r w:rsidRPr="005F4CC4">
        <w:rPr>
          <w:rFonts w:cstheme="minorHAnsi"/>
        </w:rPr>
        <w:t xml:space="preserve">Based on this review, we determined which questions to use to create an ordinal measure </w:t>
      </w:r>
      <w:r w:rsidR="00304333" w:rsidRPr="005F4CC4">
        <w:rPr>
          <w:rFonts w:cstheme="minorHAnsi"/>
        </w:rPr>
        <w:t xml:space="preserve">of exposure </w:t>
      </w:r>
      <w:r w:rsidRPr="005F4CC4">
        <w:rPr>
          <w:rFonts w:cstheme="minorHAnsi"/>
        </w:rPr>
        <w:t xml:space="preserve">for the risk factor. Multiple questions were used </w:t>
      </w:r>
      <w:r w:rsidR="00BE7368" w:rsidRPr="005F4CC4">
        <w:rPr>
          <w:rFonts w:cstheme="minorHAnsi"/>
        </w:rPr>
        <w:t xml:space="preserve">for </w:t>
      </w:r>
      <w:r w:rsidR="000500F4" w:rsidRPr="005F4CC4">
        <w:rPr>
          <w:rFonts w:cstheme="minorHAnsi"/>
        </w:rPr>
        <w:t>each of the</w:t>
      </w:r>
      <w:r w:rsidR="00BE7368" w:rsidRPr="005F4CC4">
        <w:rPr>
          <w:rFonts w:cstheme="minorHAnsi"/>
        </w:rPr>
        <w:t xml:space="preserve"> risk factors</w:t>
      </w:r>
      <w:r w:rsidR="001812A9">
        <w:rPr>
          <w:rFonts w:cstheme="minorHAnsi"/>
        </w:rPr>
        <w:t xml:space="preserve"> (Table 1</w:t>
      </w:r>
      <w:r w:rsidR="004F49B2">
        <w:rPr>
          <w:rFonts w:cstheme="minorHAnsi"/>
        </w:rPr>
        <w:t>).</w:t>
      </w:r>
    </w:p>
    <w:p w14:paraId="34C231A6" w14:textId="7BBDED46" w:rsidR="00DA2DAF" w:rsidRPr="00244A23" w:rsidRDefault="00DA2DAF" w:rsidP="00DA2DAF">
      <w:pPr>
        <w:pStyle w:val="Caption"/>
        <w:rPr>
          <w:bCs w:val="0"/>
        </w:rPr>
      </w:pPr>
      <w:r w:rsidRPr="00DA2DAF">
        <w:t xml:space="preserve">Table </w:t>
      </w:r>
      <w:r>
        <w:fldChar w:fldCharType="begin"/>
      </w:r>
      <w:r>
        <w:instrText>SEQ Table \* ARABIC</w:instrText>
      </w:r>
      <w:r>
        <w:fldChar w:fldCharType="separate"/>
      </w:r>
      <w:r w:rsidR="003C1062">
        <w:rPr>
          <w:noProof/>
        </w:rPr>
        <w:t>1</w:t>
      </w:r>
      <w:r>
        <w:fldChar w:fldCharType="end"/>
      </w:r>
      <w:r w:rsidRPr="00DA2DAF">
        <w:t xml:space="preserve">. </w:t>
      </w:r>
      <w:r w:rsidRPr="00244A23">
        <w:rPr>
          <w:bCs w:val="0"/>
        </w:rPr>
        <w:t>O*NET questions used in developing measures of occup</w:t>
      </w:r>
      <w:r w:rsidRPr="007F46D0">
        <w:rPr>
          <w:bCs w:val="0"/>
        </w:rPr>
        <w:t>ational exposure to SARs-CoV-2 based on three workplace risk factors</w:t>
      </w:r>
    </w:p>
    <w:tbl>
      <w:tblPr>
        <w:tblW w:w="9180" w:type="dxa"/>
        <w:tblCellMar>
          <w:left w:w="58" w:type="dxa"/>
          <w:right w:w="58" w:type="dxa"/>
        </w:tblCellMar>
        <w:tblLook w:val="0620" w:firstRow="1" w:lastRow="0" w:firstColumn="0" w:lastColumn="0" w:noHBand="1" w:noVBand="1"/>
      </w:tblPr>
      <w:tblGrid>
        <w:gridCol w:w="1182"/>
        <w:gridCol w:w="1896"/>
        <w:gridCol w:w="1216"/>
        <w:gridCol w:w="1216"/>
        <w:gridCol w:w="1216"/>
        <w:gridCol w:w="1216"/>
        <w:gridCol w:w="1238"/>
      </w:tblGrid>
      <w:tr w:rsidR="00A80D8E" w:rsidRPr="00A80D8E" w14:paraId="398DB0C6" w14:textId="77777777" w:rsidTr="00EE5FA5">
        <w:trPr>
          <w:trHeight w:val="552"/>
          <w:tblHeader/>
        </w:trPr>
        <w:tc>
          <w:tcPr>
            <w:tcW w:w="1182" w:type="dxa"/>
            <w:tcBorders>
              <w:top w:val="nil"/>
              <w:left w:val="nil"/>
              <w:bottom w:val="nil"/>
              <w:right w:val="nil"/>
            </w:tcBorders>
            <w:shd w:val="clear" w:color="auto" w:fill="auto"/>
            <w:vAlign w:val="center"/>
            <w:hideMark/>
          </w:tcPr>
          <w:p w14:paraId="6AA404F0" w14:textId="77777777" w:rsidR="00A80D8E" w:rsidRPr="00A80D8E" w:rsidRDefault="00A80D8E" w:rsidP="00DA2DAF">
            <w:pPr>
              <w:keepNext/>
              <w:keepLines/>
              <w:jc w:val="center"/>
              <w:rPr>
                <w:rFonts w:ascii="Calibri" w:hAnsi="Calibri" w:cs="Calibri"/>
                <w:b/>
                <w:bCs/>
                <w:color w:val="000000"/>
                <w:sz w:val="20"/>
                <w:szCs w:val="20"/>
              </w:rPr>
            </w:pPr>
            <w:r w:rsidRPr="00A80D8E">
              <w:rPr>
                <w:rFonts w:ascii="Calibri" w:hAnsi="Calibri" w:cs="Calibri"/>
                <w:b/>
                <w:bCs/>
                <w:color w:val="000000"/>
                <w:sz w:val="20"/>
                <w:szCs w:val="20"/>
              </w:rPr>
              <w:t>Workplace Risk Factor</w:t>
            </w:r>
          </w:p>
        </w:tc>
        <w:tc>
          <w:tcPr>
            <w:tcW w:w="1896" w:type="dxa"/>
            <w:tcBorders>
              <w:top w:val="nil"/>
              <w:left w:val="nil"/>
              <w:bottom w:val="nil"/>
              <w:right w:val="nil"/>
            </w:tcBorders>
            <w:shd w:val="clear" w:color="auto" w:fill="auto"/>
            <w:noWrap/>
            <w:vAlign w:val="center"/>
            <w:hideMark/>
          </w:tcPr>
          <w:p w14:paraId="315E6180" w14:textId="77777777" w:rsidR="00A80D8E" w:rsidRPr="00A80D8E" w:rsidRDefault="00A80D8E" w:rsidP="00DA2DAF">
            <w:pPr>
              <w:keepNext/>
              <w:keepLines/>
              <w:jc w:val="center"/>
              <w:rPr>
                <w:rFonts w:ascii="Calibri" w:hAnsi="Calibri" w:cs="Calibri"/>
                <w:b/>
                <w:bCs/>
                <w:color w:val="000000"/>
                <w:sz w:val="20"/>
                <w:szCs w:val="20"/>
              </w:rPr>
            </w:pPr>
            <w:r w:rsidRPr="00A80D8E">
              <w:rPr>
                <w:rFonts w:ascii="Calibri" w:hAnsi="Calibri" w:cs="Calibri"/>
                <w:b/>
                <w:bCs/>
                <w:color w:val="000000"/>
                <w:sz w:val="20"/>
                <w:szCs w:val="20"/>
              </w:rPr>
              <w:t>Question</w:t>
            </w:r>
          </w:p>
        </w:tc>
        <w:tc>
          <w:tcPr>
            <w:tcW w:w="1216" w:type="dxa"/>
            <w:tcBorders>
              <w:top w:val="nil"/>
              <w:left w:val="nil"/>
              <w:bottom w:val="nil"/>
              <w:right w:val="nil"/>
            </w:tcBorders>
            <w:shd w:val="clear" w:color="auto" w:fill="auto"/>
            <w:noWrap/>
            <w:vAlign w:val="center"/>
            <w:hideMark/>
          </w:tcPr>
          <w:p w14:paraId="0CCF3E13" w14:textId="77777777" w:rsidR="00A80D8E" w:rsidRPr="00A80D8E" w:rsidRDefault="00A80D8E" w:rsidP="00DA2DAF">
            <w:pPr>
              <w:keepNext/>
              <w:keepLines/>
              <w:jc w:val="center"/>
              <w:rPr>
                <w:rFonts w:ascii="Calibri" w:hAnsi="Calibri" w:cs="Calibri"/>
                <w:b/>
                <w:bCs/>
                <w:color w:val="000000"/>
                <w:sz w:val="20"/>
                <w:szCs w:val="20"/>
              </w:rPr>
            </w:pPr>
            <w:r w:rsidRPr="00A80D8E">
              <w:rPr>
                <w:rFonts w:ascii="Calibri" w:hAnsi="Calibri" w:cs="Calibri"/>
                <w:b/>
                <w:bCs/>
                <w:color w:val="000000"/>
                <w:sz w:val="20"/>
                <w:szCs w:val="20"/>
              </w:rPr>
              <w:t>Choice 1</w:t>
            </w:r>
          </w:p>
        </w:tc>
        <w:tc>
          <w:tcPr>
            <w:tcW w:w="1216" w:type="dxa"/>
            <w:tcBorders>
              <w:top w:val="nil"/>
              <w:left w:val="nil"/>
              <w:bottom w:val="nil"/>
              <w:right w:val="nil"/>
            </w:tcBorders>
            <w:shd w:val="clear" w:color="auto" w:fill="auto"/>
            <w:noWrap/>
            <w:vAlign w:val="center"/>
            <w:hideMark/>
          </w:tcPr>
          <w:p w14:paraId="058D18D3" w14:textId="77777777" w:rsidR="00A80D8E" w:rsidRPr="00A80D8E" w:rsidRDefault="00A80D8E" w:rsidP="00DA2DAF">
            <w:pPr>
              <w:keepNext/>
              <w:keepLines/>
              <w:jc w:val="center"/>
              <w:rPr>
                <w:rFonts w:ascii="Calibri" w:hAnsi="Calibri" w:cs="Calibri"/>
                <w:b/>
                <w:bCs/>
                <w:color w:val="000000"/>
                <w:sz w:val="20"/>
                <w:szCs w:val="20"/>
              </w:rPr>
            </w:pPr>
            <w:r w:rsidRPr="00A80D8E">
              <w:rPr>
                <w:rFonts w:ascii="Calibri" w:hAnsi="Calibri" w:cs="Calibri"/>
                <w:b/>
                <w:bCs/>
                <w:color w:val="000000"/>
                <w:sz w:val="20"/>
                <w:szCs w:val="20"/>
              </w:rPr>
              <w:t>Choice 2</w:t>
            </w:r>
          </w:p>
        </w:tc>
        <w:tc>
          <w:tcPr>
            <w:tcW w:w="1216" w:type="dxa"/>
            <w:tcBorders>
              <w:top w:val="nil"/>
              <w:left w:val="nil"/>
              <w:bottom w:val="nil"/>
              <w:right w:val="nil"/>
            </w:tcBorders>
            <w:shd w:val="clear" w:color="auto" w:fill="auto"/>
            <w:noWrap/>
            <w:vAlign w:val="center"/>
            <w:hideMark/>
          </w:tcPr>
          <w:p w14:paraId="10FE19CB" w14:textId="77777777" w:rsidR="00A80D8E" w:rsidRPr="00A80D8E" w:rsidRDefault="00A80D8E" w:rsidP="00DA2DAF">
            <w:pPr>
              <w:keepNext/>
              <w:keepLines/>
              <w:jc w:val="center"/>
              <w:rPr>
                <w:rFonts w:ascii="Calibri" w:hAnsi="Calibri" w:cs="Calibri"/>
                <w:b/>
                <w:bCs/>
                <w:color w:val="000000"/>
                <w:sz w:val="20"/>
                <w:szCs w:val="20"/>
              </w:rPr>
            </w:pPr>
            <w:r w:rsidRPr="00A80D8E">
              <w:rPr>
                <w:rFonts w:ascii="Calibri" w:hAnsi="Calibri" w:cs="Calibri"/>
                <w:b/>
                <w:bCs/>
                <w:color w:val="000000"/>
                <w:sz w:val="20"/>
                <w:szCs w:val="20"/>
              </w:rPr>
              <w:t>Choice 3</w:t>
            </w:r>
          </w:p>
        </w:tc>
        <w:tc>
          <w:tcPr>
            <w:tcW w:w="1216" w:type="dxa"/>
            <w:tcBorders>
              <w:top w:val="nil"/>
              <w:left w:val="nil"/>
              <w:bottom w:val="nil"/>
              <w:right w:val="nil"/>
            </w:tcBorders>
            <w:shd w:val="clear" w:color="auto" w:fill="auto"/>
            <w:noWrap/>
            <w:vAlign w:val="center"/>
            <w:hideMark/>
          </w:tcPr>
          <w:p w14:paraId="7F302AA1" w14:textId="77777777" w:rsidR="00A80D8E" w:rsidRPr="00A80D8E" w:rsidRDefault="00A80D8E" w:rsidP="00DA2DAF">
            <w:pPr>
              <w:keepNext/>
              <w:keepLines/>
              <w:jc w:val="center"/>
              <w:rPr>
                <w:rFonts w:ascii="Calibri" w:hAnsi="Calibri" w:cs="Calibri"/>
                <w:b/>
                <w:bCs/>
                <w:color w:val="000000"/>
                <w:sz w:val="20"/>
                <w:szCs w:val="20"/>
              </w:rPr>
            </w:pPr>
            <w:r w:rsidRPr="00A80D8E">
              <w:rPr>
                <w:rFonts w:ascii="Calibri" w:hAnsi="Calibri" w:cs="Calibri"/>
                <w:b/>
                <w:bCs/>
                <w:color w:val="000000"/>
                <w:sz w:val="20"/>
                <w:szCs w:val="20"/>
              </w:rPr>
              <w:t>Choice 4</w:t>
            </w:r>
          </w:p>
        </w:tc>
        <w:tc>
          <w:tcPr>
            <w:tcW w:w="1238" w:type="dxa"/>
            <w:tcBorders>
              <w:top w:val="nil"/>
              <w:left w:val="nil"/>
              <w:bottom w:val="nil"/>
              <w:right w:val="nil"/>
            </w:tcBorders>
            <w:shd w:val="clear" w:color="auto" w:fill="auto"/>
            <w:noWrap/>
            <w:vAlign w:val="center"/>
            <w:hideMark/>
          </w:tcPr>
          <w:p w14:paraId="75E050EE" w14:textId="77777777" w:rsidR="00A80D8E" w:rsidRPr="00A80D8E" w:rsidRDefault="00A80D8E" w:rsidP="00DA2DAF">
            <w:pPr>
              <w:keepNext/>
              <w:keepLines/>
              <w:jc w:val="center"/>
              <w:rPr>
                <w:rFonts w:ascii="Calibri" w:hAnsi="Calibri" w:cs="Calibri"/>
                <w:b/>
                <w:bCs/>
                <w:color w:val="000000"/>
                <w:sz w:val="20"/>
                <w:szCs w:val="20"/>
              </w:rPr>
            </w:pPr>
            <w:r w:rsidRPr="00A80D8E">
              <w:rPr>
                <w:rFonts w:ascii="Calibri" w:hAnsi="Calibri" w:cs="Calibri"/>
                <w:b/>
                <w:bCs/>
                <w:color w:val="000000"/>
                <w:sz w:val="20"/>
                <w:szCs w:val="20"/>
              </w:rPr>
              <w:t>Choice 5</w:t>
            </w:r>
          </w:p>
        </w:tc>
      </w:tr>
      <w:tr w:rsidR="00A80D8E" w:rsidRPr="00A80D8E" w14:paraId="6BF588B0" w14:textId="77777777" w:rsidTr="00EE5FA5">
        <w:trPr>
          <w:trHeight w:val="1656"/>
        </w:trPr>
        <w:tc>
          <w:tcPr>
            <w:tcW w:w="1182" w:type="dxa"/>
            <w:tcBorders>
              <w:top w:val="nil"/>
              <w:left w:val="nil"/>
              <w:bottom w:val="nil"/>
              <w:right w:val="nil"/>
            </w:tcBorders>
            <w:shd w:val="clear" w:color="000000" w:fill="FFF2CC"/>
            <w:vAlign w:val="center"/>
            <w:hideMark/>
          </w:tcPr>
          <w:p w14:paraId="0BC36E94" w14:textId="77777777" w:rsidR="00A80D8E" w:rsidRPr="00A80D8E" w:rsidRDefault="00A80D8E" w:rsidP="00DA2DAF">
            <w:pPr>
              <w:keepNext/>
              <w:keepLines/>
              <w:jc w:val="center"/>
              <w:rPr>
                <w:rFonts w:ascii="Calibri" w:hAnsi="Calibri" w:cs="Calibri"/>
                <w:color w:val="000000"/>
                <w:sz w:val="20"/>
                <w:szCs w:val="20"/>
              </w:rPr>
            </w:pPr>
            <w:r w:rsidRPr="00A80D8E">
              <w:rPr>
                <w:rFonts w:ascii="Calibri" w:hAnsi="Calibri" w:cs="Calibri"/>
                <w:color w:val="000000"/>
                <w:sz w:val="20"/>
                <w:szCs w:val="20"/>
              </w:rPr>
              <w:t>Public Facing work</w:t>
            </w:r>
          </w:p>
        </w:tc>
        <w:tc>
          <w:tcPr>
            <w:tcW w:w="1896" w:type="dxa"/>
            <w:tcBorders>
              <w:top w:val="nil"/>
              <w:left w:val="nil"/>
              <w:bottom w:val="nil"/>
              <w:right w:val="nil"/>
            </w:tcBorders>
            <w:shd w:val="clear" w:color="auto" w:fill="auto"/>
            <w:vAlign w:val="bottom"/>
            <w:hideMark/>
          </w:tcPr>
          <w:p w14:paraId="6375E4A7" w14:textId="77777777" w:rsidR="00A80D8E" w:rsidRPr="00A80D8E" w:rsidRDefault="00A80D8E" w:rsidP="00DA2DAF">
            <w:pPr>
              <w:keepNext/>
              <w:keepLines/>
              <w:jc w:val="center"/>
              <w:rPr>
                <w:rFonts w:ascii="Calibri" w:hAnsi="Calibri" w:cs="Calibri"/>
                <w:color w:val="000000"/>
                <w:sz w:val="20"/>
                <w:szCs w:val="20"/>
              </w:rPr>
            </w:pPr>
            <w:r w:rsidRPr="00A80D8E">
              <w:rPr>
                <w:rFonts w:ascii="Calibri" w:hAnsi="Calibri" w:cs="Calibri"/>
                <w:color w:val="000000"/>
                <w:sz w:val="20"/>
                <w:szCs w:val="20"/>
              </w:rPr>
              <w:t>How important is performing for or working directly with the public to the performance of your current job?</w:t>
            </w:r>
          </w:p>
        </w:tc>
        <w:tc>
          <w:tcPr>
            <w:tcW w:w="1216" w:type="dxa"/>
            <w:tcBorders>
              <w:top w:val="nil"/>
              <w:left w:val="nil"/>
              <w:bottom w:val="nil"/>
              <w:right w:val="nil"/>
            </w:tcBorders>
            <w:shd w:val="clear" w:color="auto" w:fill="auto"/>
            <w:vAlign w:val="bottom"/>
            <w:hideMark/>
          </w:tcPr>
          <w:p w14:paraId="3CD1C00C" w14:textId="77777777" w:rsidR="00A80D8E" w:rsidRPr="00A80D8E" w:rsidRDefault="00A80D8E" w:rsidP="00DA2DAF">
            <w:pPr>
              <w:keepNext/>
              <w:keepLines/>
              <w:jc w:val="center"/>
              <w:rPr>
                <w:rFonts w:ascii="Calibri" w:hAnsi="Calibri" w:cs="Calibri"/>
                <w:color w:val="000000"/>
                <w:sz w:val="18"/>
                <w:szCs w:val="18"/>
              </w:rPr>
            </w:pPr>
            <w:r w:rsidRPr="00A80D8E">
              <w:rPr>
                <w:rFonts w:ascii="Calibri" w:hAnsi="Calibri" w:cs="Calibri"/>
                <w:color w:val="000000"/>
                <w:sz w:val="18"/>
                <w:szCs w:val="18"/>
              </w:rPr>
              <w:t xml:space="preserve">Not important </w:t>
            </w:r>
            <w:r w:rsidRPr="00A80D8E">
              <w:rPr>
                <w:rFonts w:ascii="Calibri" w:hAnsi="Calibri" w:cs="Calibri"/>
                <w:color w:val="000000"/>
                <w:sz w:val="18"/>
                <w:szCs w:val="18"/>
              </w:rPr>
              <w:br/>
              <w:t>(0)</w:t>
            </w:r>
          </w:p>
        </w:tc>
        <w:tc>
          <w:tcPr>
            <w:tcW w:w="1216" w:type="dxa"/>
            <w:tcBorders>
              <w:top w:val="nil"/>
              <w:left w:val="nil"/>
              <w:bottom w:val="nil"/>
              <w:right w:val="nil"/>
            </w:tcBorders>
            <w:shd w:val="clear" w:color="auto" w:fill="auto"/>
            <w:vAlign w:val="bottom"/>
            <w:hideMark/>
          </w:tcPr>
          <w:p w14:paraId="55C15CFB" w14:textId="77777777" w:rsidR="00A80D8E" w:rsidRPr="00A80D8E" w:rsidRDefault="00A80D8E" w:rsidP="00DA2DAF">
            <w:pPr>
              <w:keepNext/>
              <w:keepLines/>
              <w:jc w:val="center"/>
              <w:rPr>
                <w:rFonts w:ascii="Calibri" w:hAnsi="Calibri" w:cs="Calibri"/>
                <w:color w:val="000000"/>
                <w:sz w:val="18"/>
                <w:szCs w:val="18"/>
              </w:rPr>
            </w:pPr>
            <w:r w:rsidRPr="00A80D8E">
              <w:rPr>
                <w:rFonts w:ascii="Calibri" w:hAnsi="Calibri" w:cs="Calibri"/>
                <w:color w:val="000000"/>
                <w:sz w:val="18"/>
                <w:szCs w:val="18"/>
              </w:rPr>
              <w:t>Somewhat important</w:t>
            </w:r>
            <w:r w:rsidRPr="00A80D8E">
              <w:rPr>
                <w:rFonts w:ascii="Calibri" w:hAnsi="Calibri" w:cs="Calibri"/>
                <w:color w:val="000000"/>
                <w:sz w:val="18"/>
                <w:szCs w:val="18"/>
              </w:rPr>
              <w:br/>
              <w:t>(25)</w:t>
            </w:r>
          </w:p>
        </w:tc>
        <w:tc>
          <w:tcPr>
            <w:tcW w:w="1216" w:type="dxa"/>
            <w:tcBorders>
              <w:top w:val="nil"/>
              <w:left w:val="nil"/>
              <w:bottom w:val="nil"/>
              <w:right w:val="nil"/>
            </w:tcBorders>
            <w:shd w:val="clear" w:color="auto" w:fill="auto"/>
            <w:vAlign w:val="bottom"/>
            <w:hideMark/>
          </w:tcPr>
          <w:p w14:paraId="7618F41A" w14:textId="77777777" w:rsidR="00A80D8E" w:rsidRPr="00A80D8E" w:rsidRDefault="00A80D8E" w:rsidP="00DA2DAF">
            <w:pPr>
              <w:keepNext/>
              <w:keepLines/>
              <w:jc w:val="center"/>
              <w:rPr>
                <w:rFonts w:ascii="Calibri" w:hAnsi="Calibri" w:cs="Calibri"/>
                <w:color w:val="000000"/>
                <w:sz w:val="18"/>
                <w:szCs w:val="18"/>
              </w:rPr>
            </w:pPr>
            <w:r w:rsidRPr="00A80D8E">
              <w:rPr>
                <w:rFonts w:ascii="Calibri" w:hAnsi="Calibri" w:cs="Calibri"/>
                <w:color w:val="000000"/>
                <w:sz w:val="18"/>
                <w:szCs w:val="18"/>
              </w:rPr>
              <w:t>Important</w:t>
            </w:r>
            <w:r w:rsidRPr="00A80D8E">
              <w:rPr>
                <w:rFonts w:ascii="Calibri" w:hAnsi="Calibri" w:cs="Calibri"/>
                <w:color w:val="000000"/>
                <w:sz w:val="18"/>
                <w:szCs w:val="18"/>
              </w:rPr>
              <w:br/>
              <w:t xml:space="preserve">(50) </w:t>
            </w:r>
          </w:p>
        </w:tc>
        <w:tc>
          <w:tcPr>
            <w:tcW w:w="1216" w:type="dxa"/>
            <w:tcBorders>
              <w:top w:val="nil"/>
              <w:left w:val="nil"/>
              <w:bottom w:val="nil"/>
              <w:right w:val="nil"/>
            </w:tcBorders>
            <w:shd w:val="clear" w:color="auto" w:fill="auto"/>
            <w:vAlign w:val="bottom"/>
            <w:hideMark/>
          </w:tcPr>
          <w:p w14:paraId="3659915E" w14:textId="77777777" w:rsidR="00A80D8E" w:rsidRPr="00A80D8E" w:rsidRDefault="00A80D8E" w:rsidP="00DA2DAF">
            <w:pPr>
              <w:keepNext/>
              <w:keepLines/>
              <w:jc w:val="center"/>
              <w:rPr>
                <w:rFonts w:ascii="Calibri" w:hAnsi="Calibri" w:cs="Calibri"/>
                <w:color w:val="000000"/>
                <w:sz w:val="18"/>
                <w:szCs w:val="18"/>
              </w:rPr>
            </w:pPr>
            <w:r w:rsidRPr="00A80D8E">
              <w:rPr>
                <w:rFonts w:ascii="Calibri" w:hAnsi="Calibri" w:cs="Calibri"/>
                <w:color w:val="000000"/>
                <w:sz w:val="18"/>
                <w:szCs w:val="18"/>
              </w:rPr>
              <w:t>Very important</w:t>
            </w:r>
            <w:r w:rsidRPr="00A80D8E">
              <w:rPr>
                <w:rFonts w:ascii="Calibri" w:hAnsi="Calibri" w:cs="Calibri"/>
                <w:color w:val="000000"/>
                <w:sz w:val="18"/>
                <w:szCs w:val="18"/>
              </w:rPr>
              <w:br/>
              <w:t>(75)</w:t>
            </w:r>
          </w:p>
        </w:tc>
        <w:tc>
          <w:tcPr>
            <w:tcW w:w="1238" w:type="dxa"/>
            <w:tcBorders>
              <w:top w:val="nil"/>
              <w:left w:val="nil"/>
              <w:bottom w:val="nil"/>
              <w:right w:val="nil"/>
            </w:tcBorders>
            <w:shd w:val="clear" w:color="auto" w:fill="auto"/>
            <w:vAlign w:val="bottom"/>
            <w:hideMark/>
          </w:tcPr>
          <w:p w14:paraId="252A89CF" w14:textId="77777777" w:rsidR="00A80D8E" w:rsidRPr="00A80D8E" w:rsidRDefault="00A80D8E" w:rsidP="00DA2DAF">
            <w:pPr>
              <w:keepNext/>
              <w:keepLines/>
              <w:jc w:val="center"/>
              <w:rPr>
                <w:rFonts w:ascii="Calibri" w:hAnsi="Calibri" w:cs="Calibri"/>
                <w:color w:val="000000"/>
                <w:sz w:val="18"/>
                <w:szCs w:val="18"/>
              </w:rPr>
            </w:pPr>
            <w:r w:rsidRPr="00A80D8E">
              <w:rPr>
                <w:rFonts w:ascii="Calibri" w:hAnsi="Calibri" w:cs="Calibri"/>
                <w:color w:val="000000"/>
                <w:sz w:val="18"/>
                <w:szCs w:val="18"/>
              </w:rPr>
              <w:t>Extremely important</w:t>
            </w:r>
            <w:r w:rsidRPr="00A80D8E">
              <w:rPr>
                <w:rFonts w:ascii="Calibri" w:hAnsi="Calibri" w:cs="Calibri"/>
                <w:color w:val="000000"/>
                <w:sz w:val="18"/>
                <w:szCs w:val="18"/>
              </w:rPr>
              <w:br/>
              <w:t>(100)</w:t>
            </w:r>
          </w:p>
        </w:tc>
      </w:tr>
      <w:tr w:rsidR="00A80D8E" w:rsidRPr="00A80D8E" w14:paraId="120A7AAA" w14:textId="77777777" w:rsidTr="00EE5FA5">
        <w:trPr>
          <w:cantSplit/>
          <w:trHeight w:val="1452"/>
        </w:trPr>
        <w:tc>
          <w:tcPr>
            <w:tcW w:w="1182" w:type="dxa"/>
            <w:tcBorders>
              <w:top w:val="nil"/>
              <w:left w:val="nil"/>
              <w:bottom w:val="nil"/>
              <w:right w:val="nil"/>
            </w:tcBorders>
            <w:shd w:val="clear" w:color="000000" w:fill="FFF2CC"/>
            <w:vAlign w:val="center"/>
            <w:hideMark/>
          </w:tcPr>
          <w:p w14:paraId="4589B482" w14:textId="77777777" w:rsidR="00A80D8E" w:rsidRPr="00A80D8E" w:rsidRDefault="00A80D8E" w:rsidP="00A80D8E">
            <w:pPr>
              <w:jc w:val="center"/>
              <w:rPr>
                <w:rFonts w:ascii="Calibri" w:hAnsi="Calibri" w:cs="Calibri"/>
                <w:color w:val="000000"/>
                <w:sz w:val="20"/>
                <w:szCs w:val="20"/>
              </w:rPr>
            </w:pPr>
            <w:r w:rsidRPr="00A80D8E">
              <w:rPr>
                <w:rFonts w:ascii="Calibri" w:hAnsi="Calibri" w:cs="Calibri"/>
                <w:color w:val="000000"/>
                <w:sz w:val="20"/>
                <w:szCs w:val="20"/>
              </w:rPr>
              <w:t>Public Facing work</w:t>
            </w:r>
          </w:p>
        </w:tc>
        <w:tc>
          <w:tcPr>
            <w:tcW w:w="1896" w:type="dxa"/>
            <w:tcBorders>
              <w:top w:val="nil"/>
              <w:left w:val="nil"/>
              <w:bottom w:val="nil"/>
              <w:right w:val="nil"/>
            </w:tcBorders>
            <w:shd w:val="clear" w:color="auto" w:fill="auto"/>
            <w:vAlign w:val="bottom"/>
            <w:hideMark/>
          </w:tcPr>
          <w:p w14:paraId="4EDEC0B5" w14:textId="77777777" w:rsidR="00A80D8E" w:rsidRPr="00A80D8E" w:rsidRDefault="00A80D8E" w:rsidP="00A80D8E">
            <w:pPr>
              <w:jc w:val="center"/>
              <w:rPr>
                <w:rFonts w:ascii="Calibri" w:hAnsi="Calibri" w:cs="Calibri"/>
                <w:color w:val="000000"/>
                <w:sz w:val="20"/>
                <w:szCs w:val="20"/>
              </w:rPr>
            </w:pPr>
            <w:r w:rsidRPr="00A80D8E">
              <w:rPr>
                <w:rFonts w:ascii="Calibri" w:hAnsi="Calibri" w:cs="Calibri"/>
                <w:color w:val="000000"/>
                <w:sz w:val="20"/>
                <w:szCs w:val="20"/>
              </w:rPr>
              <w:t xml:space="preserve">How physically close are you to other people when you perform your job? </w:t>
            </w:r>
          </w:p>
        </w:tc>
        <w:tc>
          <w:tcPr>
            <w:tcW w:w="1216" w:type="dxa"/>
            <w:tcBorders>
              <w:top w:val="nil"/>
              <w:left w:val="nil"/>
              <w:bottom w:val="nil"/>
              <w:right w:val="nil"/>
            </w:tcBorders>
            <w:shd w:val="clear" w:color="auto" w:fill="auto"/>
            <w:vAlign w:val="bottom"/>
            <w:hideMark/>
          </w:tcPr>
          <w:p w14:paraId="5293C5A8"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 xml:space="preserve">I don't work near other people (beyond 100 ft.) </w:t>
            </w:r>
            <w:r w:rsidRPr="00A80D8E">
              <w:rPr>
                <w:rFonts w:ascii="Calibri" w:hAnsi="Calibri" w:cs="Calibri"/>
                <w:color w:val="000000"/>
                <w:sz w:val="18"/>
                <w:szCs w:val="18"/>
              </w:rPr>
              <w:br/>
              <w:t>(0)</w:t>
            </w:r>
          </w:p>
        </w:tc>
        <w:tc>
          <w:tcPr>
            <w:tcW w:w="1216" w:type="dxa"/>
            <w:tcBorders>
              <w:top w:val="nil"/>
              <w:left w:val="nil"/>
              <w:bottom w:val="nil"/>
              <w:right w:val="nil"/>
            </w:tcBorders>
            <w:shd w:val="clear" w:color="auto" w:fill="auto"/>
            <w:vAlign w:val="bottom"/>
            <w:hideMark/>
          </w:tcPr>
          <w:p w14:paraId="0A129913"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I work with others but not closely (e.g., private office)</w:t>
            </w:r>
            <w:r w:rsidRPr="00A80D8E">
              <w:rPr>
                <w:rFonts w:ascii="Calibri" w:hAnsi="Calibri" w:cs="Calibri"/>
                <w:color w:val="000000"/>
                <w:sz w:val="18"/>
                <w:szCs w:val="18"/>
              </w:rPr>
              <w:br/>
              <w:t>(25)</w:t>
            </w:r>
          </w:p>
        </w:tc>
        <w:tc>
          <w:tcPr>
            <w:tcW w:w="1216" w:type="dxa"/>
            <w:tcBorders>
              <w:top w:val="nil"/>
              <w:left w:val="nil"/>
              <w:bottom w:val="nil"/>
              <w:right w:val="nil"/>
            </w:tcBorders>
            <w:shd w:val="clear" w:color="auto" w:fill="auto"/>
            <w:vAlign w:val="bottom"/>
            <w:hideMark/>
          </w:tcPr>
          <w:p w14:paraId="0687159E"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Slightly close (e.g., shared office)</w:t>
            </w:r>
            <w:r w:rsidRPr="00A80D8E">
              <w:rPr>
                <w:rFonts w:ascii="Calibri" w:hAnsi="Calibri" w:cs="Calibri"/>
                <w:color w:val="000000"/>
                <w:sz w:val="18"/>
                <w:szCs w:val="18"/>
              </w:rPr>
              <w:br/>
              <w:t>(50)</w:t>
            </w:r>
          </w:p>
        </w:tc>
        <w:tc>
          <w:tcPr>
            <w:tcW w:w="1216" w:type="dxa"/>
            <w:tcBorders>
              <w:top w:val="nil"/>
              <w:left w:val="nil"/>
              <w:bottom w:val="nil"/>
              <w:right w:val="nil"/>
            </w:tcBorders>
            <w:shd w:val="clear" w:color="auto" w:fill="auto"/>
            <w:vAlign w:val="bottom"/>
            <w:hideMark/>
          </w:tcPr>
          <w:p w14:paraId="07550C38"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 xml:space="preserve">Moderately close (at arm's length) </w:t>
            </w:r>
            <w:r w:rsidRPr="00A80D8E">
              <w:rPr>
                <w:rFonts w:ascii="Calibri" w:hAnsi="Calibri" w:cs="Calibri"/>
                <w:color w:val="000000"/>
                <w:sz w:val="18"/>
                <w:szCs w:val="18"/>
              </w:rPr>
              <w:br/>
              <w:t>(75)</w:t>
            </w:r>
          </w:p>
        </w:tc>
        <w:tc>
          <w:tcPr>
            <w:tcW w:w="1238" w:type="dxa"/>
            <w:tcBorders>
              <w:top w:val="nil"/>
              <w:left w:val="nil"/>
              <w:bottom w:val="nil"/>
              <w:right w:val="nil"/>
            </w:tcBorders>
            <w:shd w:val="clear" w:color="auto" w:fill="auto"/>
            <w:vAlign w:val="bottom"/>
            <w:hideMark/>
          </w:tcPr>
          <w:p w14:paraId="64C26E33"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Very close (near touching)</w:t>
            </w:r>
            <w:r w:rsidRPr="00A80D8E">
              <w:rPr>
                <w:rFonts w:ascii="Calibri" w:hAnsi="Calibri" w:cs="Calibri"/>
                <w:color w:val="000000"/>
                <w:sz w:val="18"/>
                <w:szCs w:val="18"/>
              </w:rPr>
              <w:br/>
              <w:t>(100)</w:t>
            </w:r>
          </w:p>
        </w:tc>
      </w:tr>
      <w:tr w:rsidR="00A80D8E" w:rsidRPr="00A80D8E" w14:paraId="6DF98A6D" w14:textId="77777777" w:rsidTr="00EE5FA5">
        <w:trPr>
          <w:trHeight w:val="1656"/>
        </w:trPr>
        <w:tc>
          <w:tcPr>
            <w:tcW w:w="1182" w:type="dxa"/>
            <w:tcBorders>
              <w:top w:val="nil"/>
              <w:left w:val="nil"/>
              <w:bottom w:val="nil"/>
              <w:right w:val="nil"/>
            </w:tcBorders>
            <w:shd w:val="clear" w:color="000000" w:fill="BDD7EE"/>
            <w:vAlign w:val="center"/>
            <w:hideMark/>
          </w:tcPr>
          <w:p w14:paraId="371080F5" w14:textId="77777777" w:rsidR="00A80D8E" w:rsidRPr="00A80D8E" w:rsidRDefault="00A80D8E" w:rsidP="00A80D8E">
            <w:pPr>
              <w:jc w:val="center"/>
              <w:rPr>
                <w:rFonts w:ascii="Calibri" w:hAnsi="Calibri" w:cs="Calibri"/>
                <w:color w:val="000000"/>
                <w:sz w:val="20"/>
                <w:szCs w:val="20"/>
              </w:rPr>
            </w:pPr>
            <w:r w:rsidRPr="00A80D8E">
              <w:rPr>
                <w:rFonts w:ascii="Calibri" w:hAnsi="Calibri" w:cs="Calibri"/>
                <w:color w:val="000000"/>
                <w:sz w:val="20"/>
                <w:szCs w:val="20"/>
              </w:rPr>
              <w:t>Working Indoors</w:t>
            </w:r>
          </w:p>
        </w:tc>
        <w:tc>
          <w:tcPr>
            <w:tcW w:w="1896" w:type="dxa"/>
            <w:tcBorders>
              <w:top w:val="nil"/>
              <w:left w:val="nil"/>
              <w:bottom w:val="nil"/>
              <w:right w:val="nil"/>
            </w:tcBorders>
            <w:shd w:val="clear" w:color="auto" w:fill="auto"/>
            <w:vAlign w:val="bottom"/>
            <w:hideMark/>
          </w:tcPr>
          <w:p w14:paraId="0F300F7F" w14:textId="77777777" w:rsidR="00A80D8E" w:rsidRPr="00A80D8E" w:rsidRDefault="00A80D8E" w:rsidP="00A80D8E">
            <w:pPr>
              <w:jc w:val="center"/>
              <w:rPr>
                <w:rFonts w:ascii="Calibri" w:hAnsi="Calibri" w:cs="Calibri"/>
                <w:color w:val="000000"/>
                <w:sz w:val="20"/>
                <w:szCs w:val="20"/>
              </w:rPr>
            </w:pPr>
            <w:r w:rsidRPr="00A80D8E">
              <w:rPr>
                <w:rFonts w:ascii="Calibri" w:hAnsi="Calibri" w:cs="Calibri"/>
                <w:color w:val="000000"/>
                <w:sz w:val="20"/>
                <w:szCs w:val="20"/>
              </w:rPr>
              <w:t>How often does this job require working indoors in environmentally controlled conditions?</w:t>
            </w:r>
          </w:p>
        </w:tc>
        <w:tc>
          <w:tcPr>
            <w:tcW w:w="1216" w:type="dxa"/>
            <w:tcBorders>
              <w:top w:val="nil"/>
              <w:left w:val="nil"/>
              <w:bottom w:val="nil"/>
              <w:right w:val="nil"/>
            </w:tcBorders>
            <w:shd w:val="clear" w:color="auto" w:fill="auto"/>
            <w:vAlign w:val="bottom"/>
            <w:hideMark/>
          </w:tcPr>
          <w:p w14:paraId="41CF4278"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Never</w:t>
            </w:r>
            <w:r w:rsidRPr="00A80D8E">
              <w:rPr>
                <w:rFonts w:ascii="Calibri" w:hAnsi="Calibri" w:cs="Calibri"/>
                <w:color w:val="000000"/>
                <w:sz w:val="18"/>
                <w:szCs w:val="18"/>
              </w:rPr>
              <w:br/>
              <w:t>(0)</w:t>
            </w:r>
          </w:p>
        </w:tc>
        <w:tc>
          <w:tcPr>
            <w:tcW w:w="1216" w:type="dxa"/>
            <w:tcBorders>
              <w:top w:val="nil"/>
              <w:left w:val="nil"/>
              <w:bottom w:val="nil"/>
              <w:right w:val="nil"/>
            </w:tcBorders>
            <w:shd w:val="clear" w:color="auto" w:fill="auto"/>
            <w:vAlign w:val="bottom"/>
            <w:hideMark/>
          </w:tcPr>
          <w:p w14:paraId="4735CC6F"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Once a year or more but not every month</w:t>
            </w:r>
            <w:r w:rsidRPr="00A80D8E">
              <w:rPr>
                <w:rFonts w:ascii="Calibri" w:hAnsi="Calibri" w:cs="Calibri"/>
                <w:color w:val="000000"/>
                <w:sz w:val="18"/>
                <w:szCs w:val="18"/>
              </w:rPr>
              <w:br/>
              <w:t>(25)</w:t>
            </w:r>
          </w:p>
        </w:tc>
        <w:tc>
          <w:tcPr>
            <w:tcW w:w="1216" w:type="dxa"/>
            <w:tcBorders>
              <w:top w:val="nil"/>
              <w:left w:val="nil"/>
              <w:bottom w:val="nil"/>
              <w:right w:val="nil"/>
            </w:tcBorders>
            <w:shd w:val="clear" w:color="auto" w:fill="auto"/>
            <w:vAlign w:val="bottom"/>
            <w:hideMark/>
          </w:tcPr>
          <w:p w14:paraId="75F0AC2B"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Once a month or more but not every week</w:t>
            </w:r>
            <w:r w:rsidRPr="00A80D8E">
              <w:rPr>
                <w:rFonts w:ascii="Calibri" w:hAnsi="Calibri" w:cs="Calibri"/>
                <w:color w:val="000000"/>
                <w:sz w:val="18"/>
                <w:szCs w:val="18"/>
              </w:rPr>
              <w:br/>
              <w:t>(50)</w:t>
            </w:r>
          </w:p>
        </w:tc>
        <w:tc>
          <w:tcPr>
            <w:tcW w:w="1216" w:type="dxa"/>
            <w:tcBorders>
              <w:top w:val="nil"/>
              <w:left w:val="nil"/>
              <w:bottom w:val="nil"/>
              <w:right w:val="nil"/>
            </w:tcBorders>
            <w:shd w:val="clear" w:color="auto" w:fill="auto"/>
            <w:vAlign w:val="bottom"/>
            <w:hideMark/>
          </w:tcPr>
          <w:p w14:paraId="2D09D267"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Once a week or more but not every day</w:t>
            </w:r>
            <w:r w:rsidRPr="00A80D8E">
              <w:rPr>
                <w:rFonts w:ascii="Calibri" w:hAnsi="Calibri" w:cs="Calibri"/>
                <w:color w:val="000000"/>
                <w:sz w:val="18"/>
                <w:szCs w:val="18"/>
              </w:rPr>
              <w:br/>
              <w:t>(75)</w:t>
            </w:r>
          </w:p>
        </w:tc>
        <w:tc>
          <w:tcPr>
            <w:tcW w:w="1238" w:type="dxa"/>
            <w:tcBorders>
              <w:top w:val="nil"/>
              <w:left w:val="nil"/>
              <w:bottom w:val="nil"/>
              <w:right w:val="nil"/>
            </w:tcBorders>
            <w:shd w:val="clear" w:color="auto" w:fill="auto"/>
            <w:vAlign w:val="bottom"/>
            <w:hideMark/>
          </w:tcPr>
          <w:p w14:paraId="6CD978BB"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Every day</w:t>
            </w:r>
            <w:r w:rsidRPr="00A80D8E">
              <w:rPr>
                <w:rFonts w:ascii="Calibri" w:hAnsi="Calibri" w:cs="Calibri"/>
                <w:color w:val="000000"/>
                <w:sz w:val="18"/>
                <w:szCs w:val="18"/>
              </w:rPr>
              <w:br/>
              <w:t>(100)</w:t>
            </w:r>
          </w:p>
        </w:tc>
      </w:tr>
      <w:tr w:rsidR="00A80D8E" w:rsidRPr="00A80D8E" w14:paraId="60474BA1" w14:textId="77777777" w:rsidTr="00EE5FA5">
        <w:trPr>
          <w:trHeight w:val="1932"/>
        </w:trPr>
        <w:tc>
          <w:tcPr>
            <w:tcW w:w="1182" w:type="dxa"/>
            <w:tcBorders>
              <w:top w:val="nil"/>
              <w:left w:val="nil"/>
              <w:bottom w:val="nil"/>
              <w:right w:val="nil"/>
            </w:tcBorders>
            <w:shd w:val="clear" w:color="000000" w:fill="BDD7EE"/>
            <w:vAlign w:val="center"/>
            <w:hideMark/>
          </w:tcPr>
          <w:p w14:paraId="19407867" w14:textId="77777777" w:rsidR="00A80D8E" w:rsidRPr="00A80D8E" w:rsidRDefault="00A80D8E" w:rsidP="00A80D8E">
            <w:pPr>
              <w:jc w:val="center"/>
              <w:rPr>
                <w:rFonts w:ascii="Calibri" w:hAnsi="Calibri" w:cs="Calibri"/>
                <w:color w:val="000000"/>
                <w:sz w:val="20"/>
                <w:szCs w:val="20"/>
              </w:rPr>
            </w:pPr>
            <w:r w:rsidRPr="00A80D8E">
              <w:rPr>
                <w:rFonts w:ascii="Calibri" w:hAnsi="Calibri" w:cs="Calibri"/>
                <w:color w:val="000000"/>
                <w:sz w:val="20"/>
                <w:szCs w:val="20"/>
              </w:rPr>
              <w:t>Working Indoors</w:t>
            </w:r>
          </w:p>
        </w:tc>
        <w:tc>
          <w:tcPr>
            <w:tcW w:w="1896" w:type="dxa"/>
            <w:tcBorders>
              <w:top w:val="nil"/>
              <w:left w:val="nil"/>
              <w:bottom w:val="nil"/>
              <w:right w:val="nil"/>
            </w:tcBorders>
            <w:shd w:val="clear" w:color="auto" w:fill="auto"/>
            <w:vAlign w:val="bottom"/>
            <w:hideMark/>
          </w:tcPr>
          <w:p w14:paraId="5957C42F" w14:textId="77777777" w:rsidR="00A80D8E" w:rsidRPr="00A80D8E" w:rsidRDefault="00A80D8E" w:rsidP="00A80D8E">
            <w:pPr>
              <w:jc w:val="center"/>
              <w:rPr>
                <w:rFonts w:ascii="Calibri" w:hAnsi="Calibri" w:cs="Calibri"/>
                <w:color w:val="000000"/>
                <w:sz w:val="20"/>
                <w:szCs w:val="20"/>
              </w:rPr>
            </w:pPr>
            <w:r w:rsidRPr="00A80D8E">
              <w:rPr>
                <w:rFonts w:ascii="Calibri" w:hAnsi="Calibri" w:cs="Calibri"/>
                <w:color w:val="000000"/>
                <w:sz w:val="20"/>
                <w:szCs w:val="20"/>
              </w:rPr>
              <w:t>How often does this job require working indoors in non-controlled environmental conditions (e.g. w/o heat)?</w:t>
            </w:r>
          </w:p>
        </w:tc>
        <w:tc>
          <w:tcPr>
            <w:tcW w:w="1216" w:type="dxa"/>
            <w:tcBorders>
              <w:top w:val="nil"/>
              <w:left w:val="nil"/>
              <w:bottom w:val="nil"/>
              <w:right w:val="nil"/>
            </w:tcBorders>
            <w:shd w:val="clear" w:color="auto" w:fill="auto"/>
            <w:vAlign w:val="bottom"/>
            <w:hideMark/>
          </w:tcPr>
          <w:p w14:paraId="170E24D4"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Never</w:t>
            </w:r>
            <w:r w:rsidRPr="00A80D8E">
              <w:rPr>
                <w:rFonts w:ascii="Calibri" w:hAnsi="Calibri" w:cs="Calibri"/>
                <w:color w:val="000000"/>
                <w:sz w:val="18"/>
                <w:szCs w:val="18"/>
              </w:rPr>
              <w:br/>
              <w:t>(0)</w:t>
            </w:r>
          </w:p>
        </w:tc>
        <w:tc>
          <w:tcPr>
            <w:tcW w:w="1216" w:type="dxa"/>
            <w:tcBorders>
              <w:top w:val="nil"/>
              <w:left w:val="nil"/>
              <w:bottom w:val="nil"/>
              <w:right w:val="nil"/>
            </w:tcBorders>
            <w:shd w:val="clear" w:color="auto" w:fill="auto"/>
            <w:vAlign w:val="bottom"/>
            <w:hideMark/>
          </w:tcPr>
          <w:p w14:paraId="14A7A61F"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Once a year or more but not every month</w:t>
            </w:r>
            <w:r w:rsidRPr="00A80D8E">
              <w:rPr>
                <w:rFonts w:ascii="Calibri" w:hAnsi="Calibri" w:cs="Calibri"/>
                <w:color w:val="000000"/>
                <w:sz w:val="18"/>
                <w:szCs w:val="18"/>
              </w:rPr>
              <w:br/>
              <w:t>(25)</w:t>
            </w:r>
          </w:p>
        </w:tc>
        <w:tc>
          <w:tcPr>
            <w:tcW w:w="1216" w:type="dxa"/>
            <w:tcBorders>
              <w:top w:val="nil"/>
              <w:left w:val="nil"/>
              <w:bottom w:val="nil"/>
              <w:right w:val="nil"/>
            </w:tcBorders>
            <w:shd w:val="clear" w:color="auto" w:fill="auto"/>
            <w:vAlign w:val="bottom"/>
            <w:hideMark/>
          </w:tcPr>
          <w:p w14:paraId="7E9CA336"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Once a month or more but not every week</w:t>
            </w:r>
            <w:r w:rsidRPr="00A80D8E">
              <w:rPr>
                <w:rFonts w:ascii="Calibri" w:hAnsi="Calibri" w:cs="Calibri"/>
                <w:color w:val="000000"/>
                <w:sz w:val="18"/>
                <w:szCs w:val="18"/>
              </w:rPr>
              <w:br/>
              <w:t>(50)</w:t>
            </w:r>
          </w:p>
        </w:tc>
        <w:tc>
          <w:tcPr>
            <w:tcW w:w="1216" w:type="dxa"/>
            <w:tcBorders>
              <w:top w:val="nil"/>
              <w:left w:val="nil"/>
              <w:bottom w:val="nil"/>
              <w:right w:val="nil"/>
            </w:tcBorders>
            <w:shd w:val="clear" w:color="auto" w:fill="auto"/>
            <w:vAlign w:val="bottom"/>
            <w:hideMark/>
          </w:tcPr>
          <w:p w14:paraId="5A2E5869"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Once a week or more but not every day</w:t>
            </w:r>
            <w:r w:rsidRPr="00A80D8E">
              <w:rPr>
                <w:rFonts w:ascii="Calibri" w:hAnsi="Calibri" w:cs="Calibri"/>
                <w:color w:val="000000"/>
                <w:sz w:val="18"/>
                <w:szCs w:val="18"/>
              </w:rPr>
              <w:br/>
              <w:t>(75)</w:t>
            </w:r>
          </w:p>
        </w:tc>
        <w:tc>
          <w:tcPr>
            <w:tcW w:w="1238" w:type="dxa"/>
            <w:tcBorders>
              <w:top w:val="nil"/>
              <w:left w:val="nil"/>
              <w:bottom w:val="nil"/>
              <w:right w:val="nil"/>
            </w:tcBorders>
            <w:shd w:val="clear" w:color="auto" w:fill="auto"/>
            <w:vAlign w:val="bottom"/>
            <w:hideMark/>
          </w:tcPr>
          <w:p w14:paraId="3F028F7C"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Every day</w:t>
            </w:r>
            <w:r w:rsidRPr="00A80D8E">
              <w:rPr>
                <w:rFonts w:ascii="Calibri" w:hAnsi="Calibri" w:cs="Calibri"/>
                <w:color w:val="000000"/>
                <w:sz w:val="18"/>
                <w:szCs w:val="18"/>
              </w:rPr>
              <w:br/>
              <w:t>(100)</w:t>
            </w:r>
          </w:p>
        </w:tc>
      </w:tr>
      <w:tr w:rsidR="00A80D8E" w:rsidRPr="00A80D8E" w14:paraId="7D43E2A2" w14:textId="77777777" w:rsidTr="00EE5FA5">
        <w:trPr>
          <w:trHeight w:val="1380"/>
        </w:trPr>
        <w:tc>
          <w:tcPr>
            <w:tcW w:w="1182" w:type="dxa"/>
            <w:tcBorders>
              <w:top w:val="nil"/>
              <w:left w:val="nil"/>
              <w:bottom w:val="nil"/>
              <w:right w:val="nil"/>
            </w:tcBorders>
            <w:shd w:val="clear" w:color="000000" w:fill="BDD7EE"/>
            <w:vAlign w:val="center"/>
            <w:hideMark/>
          </w:tcPr>
          <w:p w14:paraId="2A2D598C" w14:textId="77777777" w:rsidR="00A80D8E" w:rsidRPr="00A80D8E" w:rsidRDefault="00A80D8E" w:rsidP="00A80D8E">
            <w:pPr>
              <w:jc w:val="center"/>
              <w:rPr>
                <w:rFonts w:ascii="Calibri" w:hAnsi="Calibri" w:cs="Calibri"/>
                <w:color w:val="000000"/>
                <w:sz w:val="20"/>
                <w:szCs w:val="20"/>
              </w:rPr>
            </w:pPr>
            <w:r w:rsidRPr="00A80D8E">
              <w:rPr>
                <w:rFonts w:ascii="Calibri" w:hAnsi="Calibri" w:cs="Calibri"/>
                <w:color w:val="000000"/>
                <w:sz w:val="20"/>
                <w:szCs w:val="20"/>
              </w:rPr>
              <w:t>Working Indoors</w:t>
            </w:r>
          </w:p>
        </w:tc>
        <w:tc>
          <w:tcPr>
            <w:tcW w:w="1896" w:type="dxa"/>
            <w:tcBorders>
              <w:top w:val="nil"/>
              <w:left w:val="nil"/>
              <w:bottom w:val="nil"/>
              <w:right w:val="nil"/>
            </w:tcBorders>
            <w:shd w:val="clear" w:color="auto" w:fill="auto"/>
            <w:vAlign w:val="bottom"/>
            <w:hideMark/>
          </w:tcPr>
          <w:p w14:paraId="28D12594" w14:textId="77777777" w:rsidR="00A80D8E" w:rsidRPr="00A80D8E" w:rsidRDefault="00A80D8E" w:rsidP="00A80D8E">
            <w:pPr>
              <w:jc w:val="center"/>
              <w:rPr>
                <w:rFonts w:ascii="Calibri" w:hAnsi="Calibri" w:cs="Calibri"/>
                <w:color w:val="000000"/>
                <w:sz w:val="20"/>
                <w:szCs w:val="20"/>
              </w:rPr>
            </w:pPr>
            <w:r w:rsidRPr="00A80D8E">
              <w:rPr>
                <w:rFonts w:ascii="Calibri" w:hAnsi="Calibri" w:cs="Calibri"/>
                <w:color w:val="000000"/>
                <w:sz w:val="20"/>
                <w:szCs w:val="20"/>
              </w:rPr>
              <w:t>How often does this job require working outdoors, exposed to all weather conditions?</w:t>
            </w:r>
          </w:p>
        </w:tc>
        <w:tc>
          <w:tcPr>
            <w:tcW w:w="1216" w:type="dxa"/>
            <w:tcBorders>
              <w:top w:val="nil"/>
              <w:left w:val="nil"/>
              <w:bottom w:val="nil"/>
              <w:right w:val="nil"/>
            </w:tcBorders>
            <w:shd w:val="clear" w:color="auto" w:fill="auto"/>
            <w:vAlign w:val="bottom"/>
            <w:hideMark/>
          </w:tcPr>
          <w:p w14:paraId="7A9B70CF"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Never</w:t>
            </w:r>
            <w:r w:rsidRPr="00A80D8E">
              <w:rPr>
                <w:rFonts w:ascii="Calibri" w:hAnsi="Calibri" w:cs="Calibri"/>
                <w:color w:val="000000"/>
                <w:sz w:val="18"/>
                <w:szCs w:val="18"/>
              </w:rPr>
              <w:br/>
              <w:t>(0)</w:t>
            </w:r>
          </w:p>
        </w:tc>
        <w:tc>
          <w:tcPr>
            <w:tcW w:w="1216" w:type="dxa"/>
            <w:tcBorders>
              <w:top w:val="nil"/>
              <w:left w:val="nil"/>
              <w:bottom w:val="nil"/>
              <w:right w:val="nil"/>
            </w:tcBorders>
            <w:shd w:val="clear" w:color="auto" w:fill="auto"/>
            <w:vAlign w:val="bottom"/>
            <w:hideMark/>
          </w:tcPr>
          <w:p w14:paraId="3843B16E"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Once a year or more but not every month</w:t>
            </w:r>
            <w:r w:rsidRPr="00A80D8E">
              <w:rPr>
                <w:rFonts w:ascii="Calibri" w:hAnsi="Calibri" w:cs="Calibri"/>
                <w:color w:val="000000"/>
                <w:sz w:val="18"/>
                <w:szCs w:val="18"/>
              </w:rPr>
              <w:br/>
              <w:t>(25)</w:t>
            </w:r>
          </w:p>
        </w:tc>
        <w:tc>
          <w:tcPr>
            <w:tcW w:w="1216" w:type="dxa"/>
            <w:tcBorders>
              <w:top w:val="nil"/>
              <w:left w:val="nil"/>
              <w:bottom w:val="nil"/>
              <w:right w:val="nil"/>
            </w:tcBorders>
            <w:shd w:val="clear" w:color="auto" w:fill="auto"/>
            <w:vAlign w:val="bottom"/>
            <w:hideMark/>
          </w:tcPr>
          <w:p w14:paraId="17FAA919"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Once a month or more but not every week</w:t>
            </w:r>
            <w:r w:rsidRPr="00A80D8E">
              <w:rPr>
                <w:rFonts w:ascii="Calibri" w:hAnsi="Calibri" w:cs="Calibri"/>
                <w:color w:val="000000"/>
                <w:sz w:val="18"/>
                <w:szCs w:val="18"/>
              </w:rPr>
              <w:br/>
              <w:t>(50)</w:t>
            </w:r>
          </w:p>
        </w:tc>
        <w:tc>
          <w:tcPr>
            <w:tcW w:w="1216" w:type="dxa"/>
            <w:tcBorders>
              <w:top w:val="nil"/>
              <w:left w:val="nil"/>
              <w:bottom w:val="nil"/>
              <w:right w:val="nil"/>
            </w:tcBorders>
            <w:shd w:val="clear" w:color="auto" w:fill="auto"/>
            <w:vAlign w:val="bottom"/>
            <w:hideMark/>
          </w:tcPr>
          <w:p w14:paraId="0635D949"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Once a week or more but not every day</w:t>
            </w:r>
            <w:r w:rsidRPr="00A80D8E">
              <w:rPr>
                <w:rFonts w:ascii="Calibri" w:hAnsi="Calibri" w:cs="Calibri"/>
                <w:color w:val="000000"/>
                <w:sz w:val="18"/>
                <w:szCs w:val="18"/>
              </w:rPr>
              <w:br/>
              <w:t>(75)</w:t>
            </w:r>
          </w:p>
        </w:tc>
        <w:tc>
          <w:tcPr>
            <w:tcW w:w="1238" w:type="dxa"/>
            <w:tcBorders>
              <w:top w:val="nil"/>
              <w:left w:val="nil"/>
              <w:bottom w:val="nil"/>
              <w:right w:val="nil"/>
            </w:tcBorders>
            <w:shd w:val="clear" w:color="auto" w:fill="auto"/>
            <w:vAlign w:val="bottom"/>
            <w:hideMark/>
          </w:tcPr>
          <w:p w14:paraId="5ADD77A5"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Every day</w:t>
            </w:r>
            <w:r w:rsidRPr="00A80D8E">
              <w:rPr>
                <w:rFonts w:ascii="Calibri" w:hAnsi="Calibri" w:cs="Calibri"/>
                <w:color w:val="000000"/>
                <w:sz w:val="18"/>
                <w:szCs w:val="18"/>
              </w:rPr>
              <w:br/>
              <w:t>(100)</w:t>
            </w:r>
          </w:p>
        </w:tc>
      </w:tr>
      <w:tr w:rsidR="00A80D8E" w:rsidRPr="00A80D8E" w14:paraId="2C81EAE1" w14:textId="77777777" w:rsidTr="00EE5FA5">
        <w:trPr>
          <w:trHeight w:val="1656"/>
        </w:trPr>
        <w:tc>
          <w:tcPr>
            <w:tcW w:w="1182" w:type="dxa"/>
            <w:tcBorders>
              <w:top w:val="nil"/>
              <w:left w:val="nil"/>
              <w:bottom w:val="nil"/>
              <w:right w:val="nil"/>
            </w:tcBorders>
            <w:shd w:val="clear" w:color="000000" w:fill="BDD7EE"/>
            <w:vAlign w:val="center"/>
            <w:hideMark/>
          </w:tcPr>
          <w:p w14:paraId="305A5E0F" w14:textId="77777777" w:rsidR="00A80D8E" w:rsidRPr="00A80D8E" w:rsidRDefault="00A80D8E" w:rsidP="00A80D8E">
            <w:pPr>
              <w:jc w:val="center"/>
              <w:rPr>
                <w:rFonts w:ascii="Calibri" w:hAnsi="Calibri" w:cs="Calibri"/>
                <w:color w:val="000000"/>
                <w:sz w:val="20"/>
                <w:szCs w:val="20"/>
              </w:rPr>
            </w:pPr>
            <w:r w:rsidRPr="00A80D8E">
              <w:rPr>
                <w:rFonts w:ascii="Calibri" w:hAnsi="Calibri" w:cs="Calibri"/>
                <w:color w:val="000000"/>
                <w:sz w:val="20"/>
                <w:szCs w:val="20"/>
              </w:rPr>
              <w:t>Working Indoors</w:t>
            </w:r>
          </w:p>
        </w:tc>
        <w:tc>
          <w:tcPr>
            <w:tcW w:w="1896" w:type="dxa"/>
            <w:tcBorders>
              <w:top w:val="nil"/>
              <w:left w:val="nil"/>
              <w:bottom w:val="nil"/>
              <w:right w:val="nil"/>
            </w:tcBorders>
            <w:shd w:val="clear" w:color="auto" w:fill="auto"/>
            <w:vAlign w:val="bottom"/>
            <w:hideMark/>
          </w:tcPr>
          <w:p w14:paraId="15D72D02" w14:textId="77777777" w:rsidR="00A80D8E" w:rsidRPr="00A80D8E" w:rsidRDefault="00A80D8E" w:rsidP="00A80D8E">
            <w:pPr>
              <w:jc w:val="center"/>
              <w:rPr>
                <w:rFonts w:ascii="Calibri" w:hAnsi="Calibri" w:cs="Calibri"/>
                <w:color w:val="000000"/>
                <w:sz w:val="20"/>
                <w:szCs w:val="20"/>
              </w:rPr>
            </w:pPr>
            <w:r w:rsidRPr="00A80D8E">
              <w:rPr>
                <w:rFonts w:ascii="Calibri" w:hAnsi="Calibri" w:cs="Calibri"/>
                <w:color w:val="000000"/>
                <w:sz w:val="20"/>
                <w:szCs w:val="20"/>
              </w:rPr>
              <w:t>How often does this job require working outdoors, under cover (e.g., structure with roof but no walls)?</w:t>
            </w:r>
          </w:p>
        </w:tc>
        <w:tc>
          <w:tcPr>
            <w:tcW w:w="1216" w:type="dxa"/>
            <w:tcBorders>
              <w:top w:val="nil"/>
              <w:left w:val="nil"/>
              <w:bottom w:val="nil"/>
              <w:right w:val="nil"/>
            </w:tcBorders>
            <w:shd w:val="clear" w:color="auto" w:fill="auto"/>
            <w:vAlign w:val="bottom"/>
            <w:hideMark/>
          </w:tcPr>
          <w:p w14:paraId="7AE66B1B"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Never</w:t>
            </w:r>
            <w:r w:rsidRPr="00A80D8E">
              <w:rPr>
                <w:rFonts w:ascii="Calibri" w:hAnsi="Calibri" w:cs="Calibri"/>
                <w:color w:val="000000"/>
                <w:sz w:val="18"/>
                <w:szCs w:val="18"/>
              </w:rPr>
              <w:br/>
              <w:t>(0)</w:t>
            </w:r>
          </w:p>
        </w:tc>
        <w:tc>
          <w:tcPr>
            <w:tcW w:w="1216" w:type="dxa"/>
            <w:tcBorders>
              <w:top w:val="nil"/>
              <w:left w:val="nil"/>
              <w:bottom w:val="nil"/>
              <w:right w:val="nil"/>
            </w:tcBorders>
            <w:shd w:val="clear" w:color="auto" w:fill="auto"/>
            <w:vAlign w:val="bottom"/>
            <w:hideMark/>
          </w:tcPr>
          <w:p w14:paraId="74A7F2A7"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Once a year or more but not every month</w:t>
            </w:r>
            <w:r w:rsidRPr="00A80D8E">
              <w:rPr>
                <w:rFonts w:ascii="Calibri" w:hAnsi="Calibri" w:cs="Calibri"/>
                <w:color w:val="000000"/>
                <w:sz w:val="18"/>
                <w:szCs w:val="18"/>
              </w:rPr>
              <w:br/>
              <w:t>(25)</w:t>
            </w:r>
          </w:p>
        </w:tc>
        <w:tc>
          <w:tcPr>
            <w:tcW w:w="1216" w:type="dxa"/>
            <w:tcBorders>
              <w:top w:val="nil"/>
              <w:left w:val="nil"/>
              <w:bottom w:val="nil"/>
              <w:right w:val="nil"/>
            </w:tcBorders>
            <w:shd w:val="clear" w:color="auto" w:fill="auto"/>
            <w:vAlign w:val="bottom"/>
            <w:hideMark/>
          </w:tcPr>
          <w:p w14:paraId="6A14D6A5"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Once a month or more but not every week</w:t>
            </w:r>
            <w:r w:rsidRPr="00A80D8E">
              <w:rPr>
                <w:rFonts w:ascii="Calibri" w:hAnsi="Calibri" w:cs="Calibri"/>
                <w:color w:val="000000"/>
                <w:sz w:val="18"/>
                <w:szCs w:val="18"/>
              </w:rPr>
              <w:br/>
              <w:t>(50)</w:t>
            </w:r>
          </w:p>
        </w:tc>
        <w:tc>
          <w:tcPr>
            <w:tcW w:w="1216" w:type="dxa"/>
            <w:tcBorders>
              <w:top w:val="nil"/>
              <w:left w:val="nil"/>
              <w:bottom w:val="nil"/>
              <w:right w:val="nil"/>
            </w:tcBorders>
            <w:shd w:val="clear" w:color="auto" w:fill="auto"/>
            <w:vAlign w:val="bottom"/>
            <w:hideMark/>
          </w:tcPr>
          <w:p w14:paraId="3C7B5A06"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Once a week or more but not every day</w:t>
            </w:r>
            <w:r w:rsidRPr="00A80D8E">
              <w:rPr>
                <w:rFonts w:ascii="Calibri" w:hAnsi="Calibri" w:cs="Calibri"/>
                <w:color w:val="000000"/>
                <w:sz w:val="18"/>
                <w:szCs w:val="18"/>
              </w:rPr>
              <w:br/>
              <w:t>(75)</w:t>
            </w:r>
          </w:p>
        </w:tc>
        <w:tc>
          <w:tcPr>
            <w:tcW w:w="1238" w:type="dxa"/>
            <w:tcBorders>
              <w:top w:val="nil"/>
              <w:left w:val="nil"/>
              <w:bottom w:val="nil"/>
              <w:right w:val="nil"/>
            </w:tcBorders>
            <w:shd w:val="clear" w:color="auto" w:fill="auto"/>
            <w:vAlign w:val="bottom"/>
            <w:hideMark/>
          </w:tcPr>
          <w:p w14:paraId="6339691A"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Every day</w:t>
            </w:r>
            <w:r w:rsidRPr="00A80D8E">
              <w:rPr>
                <w:rFonts w:ascii="Calibri" w:hAnsi="Calibri" w:cs="Calibri"/>
                <w:color w:val="000000"/>
                <w:sz w:val="18"/>
                <w:szCs w:val="18"/>
              </w:rPr>
              <w:br/>
              <w:t>(100)</w:t>
            </w:r>
          </w:p>
        </w:tc>
      </w:tr>
      <w:tr w:rsidR="00A80D8E" w:rsidRPr="00A80D8E" w14:paraId="18A8EC8C" w14:textId="77777777" w:rsidTr="00EE5FA5">
        <w:trPr>
          <w:trHeight w:val="1380"/>
        </w:trPr>
        <w:tc>
          <w:tcPr>
            <w:tcW w:w="1182" w:type="dxa"/>
            <w:tcBorders>
              <w:top w:val="nil"/>
              <w:left w:val="nil"/>
              <w:bottom w:val="nil"/>
              <w:right w:val="nil"/>
            </w:tcBorders>
            <w:shd w:val="clear" w:color="000000" w:fill="BDD7EE"/>
            <w:vAlign w:val="center"/>
            <w:hideMark/>
          </w:tcPr>
          <w:p w14:paraId="0F1C8AD0" w14:textId="77777777" w:rsidR="00A80D8E" w:rsidRPr="00A80D8E" w:rsidRDefault="00A80D8E" w:rsidP="00A80D8E">
            <w:pPr>
              <w:jc w:val="center"/>
              <w:rPr>
                <w:rFonts w:ascii="Calibri" w:hAnsi="Calibri" w:cs="Calibri"/>
                <w:color w:val="000000"/>
                <w:sz w:val="20"/>
                <w:szCs w:val="20"/>
              </w:rPr>
            </w:pPr>
            <w:r w:rsidRPr="00A80D8E">
              <w:rPr>
                <w:rFonts w:ascii="Calibri" w:hAnsi="Calibri" w:cs="Calibri"/>
                <w:color w:val="000000"/>
                <w:sz w:val="20"/>
                <w:szCs w:val="20"/>
              </w:rPr>
              <w:t>Working Indoors</w:t>
            </w:r>
          </w:p>
        </w:tc>
        <w:tc>
          <w:tcPr>
            <w:tcW w:w="1896" w:type="dxa"/>
            <w:tcBorders>
              <w:top w:val="nil"/>
              <w:left w:val="nil"/>
              <w:bottom w:val="nil"/>
              <w:right w:val="nil"/>
            </w:tcBorders>
            <w:shd w:val="clear" w:color="auto" w:fill="auto"/>
            <w:vAlign w:val="bottom"/>
            <w:hideMark/>
          </w:tcPr>
          <w:p w14:paraId="55061591" w14:textId="77777777" w:rsidR="00A80D8E" w:rsidRPr="00A80D8E" w:rsidRDefault="00A80D8E" w:rsidP="00A80D8E">
            <w:pPr>
              <w:jc w:val="center"/>
              <w:rPr>
                <w:rFonts w:ascii="Calibri" w:hAnsi="Calibri" w:cs="Calibri"/>
                <w:color w:val="000000"/>
                <w:sz w:val="20"/>
                <w:szCs w:val="20"/>
              </w:rPr>
            </w:pPr>
            <w:r w:rsidRPr="00A80D8E">
              <w:rPr>
                <w:rFonts w:ascii="Calibri" w:hAnsi="Calibri" w:cs="Calibri"/>
                <w:color w:val="000000"/>
                <w:sz w:val="20"/>
                <w:szCs w:val="20"/>
              </w:rPr>
              <w:t>How often does this job require working in a closed vehicle or equipment (e.g., car)?</w:t>
            </w:r>
          </w:p>
        </w:tc>
        <w:tc>
          <w:tcPr>
            <w:tcW w:w="1216" w:type="dxa"/>
            <w:tcBorders>
              <w:top w:val="nil"/>
              <w:left w:val="nil"/>
              <w:bottom w:val="nil"/>
              <w:right w:val="nil"/>
            </w:tcBorders>
            <w:shd w:val="clear" w:color="auto" w:fill="auto"/>
            <w:vAlign w:val="bottom"/>
            <w:hideMark/>
          </w:tcPr>
          <w:p w14:paraId="65764ADE"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Never</w:t>
            </w:r>
            <w:r w:rsidRPr="00A80D8E">
              <w:rPr>
                <w:rFonts w:ascii="Calibri" w:hAnsi="Calibri" w:cs="Calibri"/>
                <w:color w:val="000000"/>
                <w:sz w:val="18"/>
                <w:szCs w:val="18"/>
              </w:rPr>
              <w:br/>
              <w:t>(0)</w:t>
            </w:r>
          </w:p>
        </w:tc>
        <w:tc>
          <w:tcPr>
            <w:tcW w:w="1216" w:type="dxa"/>
            <w:tcBorders>
              <w:top w:val="nil"/>
              <w:left w:val="nil"/>
              <w:bottom w:val="nil"/>
              <w:right w:val="nil"/>
            </w:tcBorders>
            <w:shd w:val="clear" w:color="auto" w:fill="auto"/>
            <w:vAlign w:val="bottom"/>
            <w:hideMark/>
          </w:tcPr>
          <w:p w14:paraId="062315C5"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Once a year or more but not every month</w:t>
            </w:r>
            <w:r w:rsidRPr="00A80D8E">
              <w:rPr>
                <w:rFonts w:ascii="Calibri" w:hAnsi="Calibri" w:cs="Calibri"/>
                <w:color w:val="000000"/>
                <w:sz w:val="18"/>
                <w:szCs w:val="18"/>
              </w:rPr>
              <w:br/>
              <w:t>(25)</w:t>
            </w:r>
          </w:p>
        </w:tc>
        <w:tc>
          <w:tcPr>
            <w:tcW w:w="1216" w:type="dxa"/>
            <w:tcBorders>
              <w:top w:val="nil"/>
              <w:left w:val="nil"/>
              <w:bottom w:val="nil"/>
              <w:right w:val="nil"/>
            </w:tcBorders>
            <w:shd w:val="clear" w:color="auto" w:fill="auto"/>
            <w:vAlign w:val="bottom"/>
            <w:hideMark/>
          </w:tcPr>
          <w:p w14:paraId="0B06E85B"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Once a month or more but not every week</w:t>
            </w:r>
            <w:r w:rsidRPr="00A80D8E">
              <w:rPr>
                <w:rFonts w:ascii="Calibri" w:hAnsi="Calibri" w:cs="Calibri"/>
                <w:color w:val="000000"/>
                <w:sz w:val="18"/>
                <w:szCs w:val="18"/>
              </w:rPr>
              <w:br/>
              <w:t>(50)</w:t>
            </w:r>
          </w:p>
        </w:tc>
        <w:tc>
          <w:tcPr>
            <w:tcW w:w="1216" w:type="dxa"/>
            <w:tcBorders>
              <w:top w:val="nil"/>
              <w:left w:val="nil"/>
              <w:bottom w:val="nil"/>
              <w:right w:val="nil"/>
            </w:tcBorders>
            <w:shd w:val="clear" w:color="auto" w:fill="auto"/>
            <w:vAlign w:val="bottom"/>
            <w:hideMark/>
          </w:tcPr>
          <w:p w14:paraId="230CB0F8"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Once a week or more but not every day</w:t>
            </w:r>
            <w:r w:rsidRPr="00A80D8E">
              <w:rPr>
                <w:rFonts w:ascii="Calibri" w:hAnsi="Calibri" w:cs="Calibri"/>
                <w:color w:val="000000"/>
                <w:sz w:val="18"/>
                <w:szCs w:val="18"/>
              </w:rPr>
              <w:br/>
              <w:t>(75)</w:t>
            </w:r>
          </w:p>
        </w:tc>
        <w:tc>
          <w:tcPr>
            <w:tcW w:w="1238" w:type="dxa"/>
            <w:tcBorders>
              <w:top w:val="nil"/>
              <w:left w:val="nil"/>
              <w:bottom w:val="nil"/>
              <w:right w:val="nil"/>
            </w:tcBorders>
            <w:shd w:val="clear" w:color="auto" w:fill="auto"/>
            <w:vAlign w:val="bottom"/>
            <w:hideMark/>
          </w:tcPr>
          <w:p w14:paraId="38EDDFA1"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Every day</w:t>
            </w:r>
            <w:r w:rsidRPr="00A80D8E">
              <w:rPr>
                <w:rFonts w:ascii="Calibri" w:hAnsi="Calibri" w:cs="Calibri"/>
                <w:color w:val="000000"/>
                <w:sz w:val="18"/>
                <w:szCs w:val="18"/>
              </w:rPr>
              <w:br/>
              <w:t>(100)</w:t>
            </w:r>
          </w:p>
        </w:tc>
      </w:tr>
      <w:tr w:rsidR="00A80D8E" w:rsidRPr="00A80D8E" w14:paraId="72FEC368" w14:textId="77777777" w:rsidTr="00EE5FA5">
        <w:trPr>
          <w:trHeight w:val="1452"/>
        </w:trPr>
        <w:tc>
          <w:tcPr>
            <w:tcW w:w="1182" w:type="dxa"/>
            <w:tcBorders>
              <w:top w:val="nil"/>
              <w:left w:val="nil"/>
              <w:bottom w:val="nil"/>
              <w:right w:val="nil"/>
            </w:tcBorders>
            <w:shd w:val="clear" w:color="000000" w:fill="E2EFDA"/>
            <w:vAlign w:val="center"/>
            <w:hideMark/>
          </w:tcPr>
          <w:p w14:paraId="23876E29" w14:textId="77777777" w:rsidR="00A80D8E" w:rsidRPr="00A80D8E" w:rsidRDefault="00A80D8E" w:rsidP="00A80D8E">
            <w:pPr>
              <w:jc w:val="center"/>
              <w:rPr>
                <w:rFonts w:ascii="Calibri" w:hAnsi="Calibri" w:cs="Calibri"/>
                <w:color w:val="000000"/>
                <w:sz w:val="20"/>
                <w:szCs w:val="20"/>
              </w:rPr>
            </w:pPr>
            <w:r w:rsidRPr="00A80D8E">
              <w:rPr>
                <w:rFonts w:ascii="Calibri" w:hAnsi="Calibri" w:cs="Calibri"/>
                <w:color w:val="000000"/>
                <w:sz w:val="20"/>
                <w:szCs w:val="20"/>
              </w:rPr>
              <w:t>Close Proximity</w:t>
            </w:r>
          </w:p>
        </w:tc>
        <w:tc>
          <w:tcPr>
            <w:tcW w:w="1896" w:type="dxa"/>
            <w:tcBorders>
              <w:top w:val="nil"/>
              <w:left w:val="nil"/>
              <w:bottom w:val="nil"/>
              <w:right w:val="nil"/>
            </w:tcBorders>
            <w:shd w:val="clear" w:color="auto" w:fill="auto"/>
            <w:vAlign w:val="bottom"/>
            <w:hideMark/>
          </w:tcPr>
          <w:p w14:paraId="1D99D052" w14:textId="77777777" w:rsidR="00A80D8E" w:rsidRPr="00A80D8E" w:rsidRDefault="00A80D8E" w:rsidP="00A80D8E">
            <w:pPr>
              <w:jc w:val="center"/>
              <w:rPr>
                <w:rFonts w:ascii="Calibri" w:hAnsi="Calibri" w:cs="Calibri"/>
                <w:color w:val="000000"/>
                <w:sz w:val="20"/>
                <w:szCs w:val="20"/>
              </w:rPr>
            </w:pPr>
            <w:r w:rsidRPr="00A80D8E">
              <w:rPr>
                <w:rFonts w:ascii="Calibri" w:hAnsi="Calibri" w:cs="Calibri"/>
                <w:color w:val="000000"/>
                <w:sz w:val="20"/>
                <w:szCs w:val="20"/>
              </w:rPr>
              <w:t xml:space="preserve">How physically close are you to other people when you perform your job? </w:t>
            </w:r>
          </w:p>
        </w:tc>
        <w:tc>
          <w:tcPr>
            <w:tcW w:w="1216" w:type="dxa"/>
            <w:tcBorders>
              <w:top w:val="nil"/>
              <w:left w:val="nil"/>
              <w:bottom w:val="nil"/>
              <w:right w:val="nil"/>
            </w:tcBorders>
            <w:shd w:val="clear" w:color="auto" w:fill="auto"/>
            <w:vAlign w:val="bottom"/>
            <w:hideMark/>
          </w:tcPr>
          <w:p w14:paraId="30D9A0D3"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I don't work near other people</w:t>
            </w:r>
            <w:r w:rsidRPr="00A80D8E">
              <w:rPr>
                <w:rFonts w:ascii="Calibri" w:hAnsi="Calibri" w:cs="Calibri"/>
                <w:color w:val="000000"/>
                <w:sz w:val="18"/>
                <w:szCs w:val="18"/>
              </w:rPr>
              <w:br/>
              <w:t xml:space="preserve">(beyond 100 ft.) </w:t>
            </w:r>
            <w:r w:rsidRPr="00A80D8E">
              <w:rPr>
                <w:rFonts w:ascii="Calibri" w:hAnsi="Calibri" w:cs="Calibri"/>
                <w:color w:val="000000"/>
                <w:sz w:val="18"/>
                <w:szCs w:val="18"/>
              </w:rPr>
              <w:br/>
              <w:t>(0)</w:t>
            </w:r>
          </w:p>
        </w:tc>
        <w:tc>
          <w:tcPr>
            <w:tcW w:w="1216" w:type="dxa"/>
            <w:tcBorders>
              <w:top w:val="nil"/>
              <w:left w:val="nil"/>
              <w:bottom w:val="nil"/>
              <w:right w:val="nil"/>
            </w:tcBorders>
            <w:shd w:val="clear" w:color="auto" w:fill="auto"/>
            <w:vAlign w:val="bottom"/>
            <w:hideMark/>
          </w:tcPr>
          <w:p w14:paraId="27FB799F"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I work with others but not closely (e.g., private office)</w:t>
            </w:r>
            <w:r w:rsidRPr="00A80D8E">
              <w:rPr>
                <w:rFonts w:ascii="Calibri" w:hAnsi="Calibri" w:cs="Calibri"/>
                <w:color w:val="000000"/>
                <w:sz w:val="18"/>
                <w:szCs w:val="18"/>
              </w:rPr>
              <w:br/>
              <w:t>(25)</w:t>
            </w:r>
          </w:p>
        </w:tc>
        <w:tc>
          <w:tcPr>
            <w:tcW w:w="1216" w:type="dxa"/>
            <w:tcBorders>
              <w:top w:val="nil"/>
              <w:left w:val="nil"/>
              <w:bottom w:val="nil"/>
              <w:right w:val="nil"/>
            </w:tcBorders>
            <w:shd w:val="clear" w:color="auto" w:fill="auto"/>
            <w:vAlign w:val="bottom"/>
            <w:hideMark/>
          </w:tcPr>
          <w:p w14:paraId="7575A0B9"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Slightly close (e.g., shared office)</w:t>
            </w:r>
            <w:r w:rsidRPr="00A80D8E">
              <w:rPr>
                <w:rFonts w:ascii="Calibri" w:hAnsi="Calibri" w:cs="Calibri"/>
                <w:color w:val="000000"/>
                <w:sz w:val="18"/>
                <w:szCs w:val="18"/>
              </w:rPr>
              <w:br/>
              <w:t>(50)</w:t>
            </w:r>
          </w:p>
        </w:tc>
        <w:tc>
          <w:tcPr>
            <w:tcW w:w="1216" w:type="dxa"/>
            <w:tcBorders>
              <w:top w:val="nil"/>
              <w:left w:val="nil"/>
              <w:bottom w:val="nil"/>
              <w:right w:val="nil"/>
            </w:tcBorders>
            <w:shd w:val="clear" w:color="auto" w:fill="auto"/>
            <w:vAlign w:val="bottom"/>
            <w:hideMark/>
          </w:tcPr>
          <w:p w14:paraId="3CA3E2DA"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 xml:space="preserve">Moderately close (at arm's length) </w:t>
            </w:r>
            <w:r w:rsidRPr="00A80D8E">
              <w:rPr>
                <w:rFonts w:ascii="Calibri" w:hAnsi="Calibri" w:cs="Calibri"/>
                <w:color w:val="000000"/>
                <w:sz w:val="18"/>
                <w:szCs w:val="18"/>
              </w:rPr>
              <w:br/>
              <w:t>(75)</w:t>
            </w:r>
          </w:p>
        </w:tc>
        <w:tc>
          <w:tcPr>
            <w:tcW w:w="1238" w:type="dxa"/>
            <w:tcBorders>
              <w:top w:val="nil"/>
              <w:left w:val="nil"/>
              <w:bottom w:val="nil"/>
              <w:right w:val="nil"/>
            </w:tcBorders>
            <w:shd w:val="clear" w:color="auto" w:fill="auto"/>
            <w:vAlign w:val="bottom"/>
            <w:hideMark/>
          </w:tcPr>
          <w:p w14:paraId="76429298"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Very close (near touching)</w:t>
            </w:r>
            <w:r w:rsidRPr="00A80D8E">
              <w:rPr>
                <w:rFonts w:ascii="Calibri" w:hAnsi="Calibri" w:cs="Calibri"/>
                <w:color w:val="000000"/>
                <w:sz w:val="18"/>
                <w:szCs w:val="18"/>
              </w:rPr>
              <w:br/>
              <w:t>(100)</w:t>
            </w:r>
          </w:p>
        </w:tc>
      </w:tr>
      <w:tr w:rsidR="00A80D8E" w:rsidRPr="00A80D8E" w14:paraId="5610CD95" w14:textId="77777777" w:rsidTr="00EE5FA5">
        <w:trPr>
          <w:trHeight w:val="1104"/>
        </w:trPr>
        <w:tc>
          <w:tcPr>
            <w:tcW w:w="1182" w:type="dxa"/>
            <w:tcBorders>
              <w:top w:val="nil"/>
              <w:left w:val="nil"/>
              <w:bottom w:val="nil"/>
              <w:right w:val="nil"/>
            </w:tcBorders>
            <w:shd w:val="clear" w:color="000000" w:fill="E2EFDA"/>
            <w:vAlign w:val="center"/>
            <w:hideMark/>
          </w:tcPr>
          <w:p w14:paraId="329B6617" w14:textId="77777777" w:rsidR="00A80D8E" w:rsidRPr="00A80D8E" w:rsidRDefault="00A80D8E" w:rsidP="00A80D8E">
            <w:pPr>
              <w:jc w:val="center"/>
              <w:rPr>
                <w:rFonts w:ascii="Calibri" w:hAnsi="Calibri" w:cs="Calibri"/>
                <w:color w:val="000000"/>
                <w:sz w:val="20"/>
                <w:szCs w:val="20"/>
              </w:rPr>
            </w:pPr>
            <w:r w:rsidRPr="00A80D8E">
              <w:rPr>
                <w:rFonts w:ascii="Calibri" w:hAnsi="Calibri" w:cs="Calibri"/>
                <w:color w:val="000000"/>
                <w:sz w:val="20"/>
                <w:szCs w:val="20"/>
              </w:rPr>
              <w:t>Close Proximity</w:t>
            </w:r>
          </w:p>
        </w:tc>
        <w:tc>
          <w:tcPr>
            <w:tcW w:w="1896" w:type="dxa"/>
            <w:tcBorders>
              <w:top w:val="nil"/>
              <w:left w:val="nil"/>
              <w:bottom w:val="nil"/>
              <w:right w:val="nil"/>
            </w:tcBorders>
            <w:shd w:val="clear" w:color="auto" w:fill="auto"/>
            <w:vAlign w:val="bottom"/>
            <w:hideMark/>
          </w:tcPr>
          <w:p w14:paraId="0EA85D32" w14:textId="77777777" w:rsidR="00A80D8E" w:rsidRPr="00A80D8E" w:rsidRDefault="00A80D8E" w:rsidP="00A80D8E">
            <w:pPr>
              <w:jc w:val="center"/>
              <w:rPr>
                <w:rFonts w:ascii="Calibri" w:hAnsi="Calibri" w:cs="Calibri"/>
                <w:color w:val="000000"/>
                <w:sz w:val="20"/>
                <w:szCs w:val="20"/>
              </w:rPr>
            </w:pPr>
            <w:r w:rsidRPr="00A80D8E">
              <w:rPr>
                <w:rFonts w:ascii="Calibri" w:hAnsi="Calibri" w:cs="Calibri"/>
                <w:color w:val="000000"/>
                <w:sz w:val="20"/>
                <w:szCs w:val="20"/>
              </w:rPr>
              <w:t xml:space="preserve">How important is it to work with others in a group or team in this job? </w:t>
            </w:r>
          </w:p>
        </w:tc>
        <w:tc>
          <w:tcPr>
            <w:tcW w:w="1216" w:type="dxa"/>
            <w:tcBorders>
              <w:top w:val="nil"/>
              <w:left w:val="nil"/>
              <w:bottom w:val="nil"/>
              <w:right w:val="nil"/>
            </w:tcBorders>
            <w:shd w:val="clear" w:color="auto" w:fill="auto"/>
            <w:vAlign w:val="bottom"/>
            <w:hideMark/>
          </w:tcPr>
          <w:p w14:paraId="6C0BFCA9"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 xml:space="preserve">Not important </w:t>
            </w:r>
            <w:r w:rsidRPr="00A80D8E">
              <w:rPr>
                <w:rFonts w:ascii="Calibri" w:hAnsi="Calibri" w:cs="Calibri"/>
                <w:color w:val="000000"/>
                <w:sz w:val="18"/>
                <w:szCs w:val="18"/>
              </w:rPr>
              <w:br w:type="page"/>
              <w:t>(0)</w:t>
            </w:r>
          </w:p>
        </w:tc>
        <w:tc>
          <w:tcPr>
            <w:tcW w:w="1216" w:type="dxa"/>
            <w:tcBorders>
              <w:top w:val="nil"/>
              <w:left w:val="nil"/>
              <w:bottom w:val="nil"/>
              <w:right w:val="nil"/>
            </w:tcBorders>
            <w:shd w:val="clear" w:color="auto" w:fill="auto"/>
            <w:vAlign w:val="bottom"/>
            <w:hideMark/>
          </w:tcPr>
          <w:p w14:paraId="22E8D3C3"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Somewhat important</w:t>
            </w:r>
            <w:r w:rsidRPr="00A80D8E">
              <w:rPr>
                <w:rFonts w:ascii="Calibri" w:hAnsi="Calibri" w:cs="Calibri"/>
                <w:color w:val="000000"/>
                <w:sz w:val="18"/>
                <w:szCs w:val="18"/>
              </w:rPr>
              <w:br w:type="page"/>
              <w:t>(25)</w:t>
            </w:r>
          </w:p>
        </w:tc>
        <w:tc>
          <w:tcPr>
            <w:tcW w:w="1216" w:type="dxa"/>
            <w:tcBorders>
              <w:top w:val="nil"/>
              <w:left w:val="nil"/>
              <w:bottom w:val="nil"/>
              <w:right w:val="nil"/>
            </w:tcBorders>
            <w:shd w:val="clear" w:color="auto" w:fill="auto"/>
            <w:vAlign w:val="bottom"/>
            <w:hideMark/>
          </w:tcPr>
          <w:p w14:paraId="591096C3"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Important</w:t>
            </w:r>
            <w:r w:rsidRPr="00A80D8E">
              <w:rPr>
                <w:rFonts w:ascii="Calibri" w:hAnsi="Calibri" w:cs="Calibri"/>
                <w:color w:val="000000"/>
                <w:sz w:val="18"/>
                <w:szCs w:val="18"/>
              </w:rPr>
              <w:br w:type="page"/>
              <w:t xml:space="preserve">(50) </w:t>
            </w:r>
          </w:p>
        </w:tc>
        <w:tc>
          <w:tcPr>
            <w:tcW w:w="1216" w:type="dxa"/>
            <w:tcBorders>
              <w:top w:val="nil"/>
              <w:left w:val="nil"/>
              <w:bottom w:val="nil"/>
              <w:right w:val="nil"/>
            </w:tcBorders>
            <w:shd w:val="clear" w:color="auto" w:fill="auto"/>
            <w:vAlign w:val="bottom"/>
            <w:hideMark/>
          </w:tcPr>
          <w:p w14:paraId="6C749625"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Very important</w:t>
            </w:r>
            <w:r w:rsidRPr="00A80D8E">
              <w:rPr>
                <w:rFonts w:ascii="Calibri" w:hAnsi="Calibri" w:cs="Calibri"/>
                <w:color w:val="000000"/>
                <w:sz w:val="18"/>
                <w:szCs w:val="18"/>
              </w:rPr>
              <w:br w:type="page"/>
              <w:t>(75)</w:t>
            </w:r>
          </w:p>
        </w:tc>
        <w:tc>
          <w:tcPr>
            <w:tcW w:w="1238" w:type="dxa"/>
            <w:tcBorders>
              <w:top w:val="nil"/>
              <w:left w:val="nil"/>
              <w:bottom w:val="nil"/>
              <w:right w:val="nil"/>
            </w:tcBorders>
            <w:shd w:val="clear" w:color="auto" w:fill="auto"/>
            <w:vAlign w:val="bottom"/>
            <w:hideMark/>
          </w:tcPr>
          <w:p w14:paraId="4FB10B71"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Extremely important</w:t>
            </w:r>
            <w:r w:rsidRPr="00A80D8E">
              <w:rPr>
                <w:rFonts w:ascii="Calibri" w:hAnsi="Calibri" w:cs="Calibri"/>
                <w:color w:val="000000"/>
                <w:sz w:val="18"/>
                <w:szCs w:val="18"/>
              </w:rPr>
              <w:br w:type="page"/>
              <w:t>(100)</w:t>
            </w:r>
          </w:p>
        </w:tc>
      </w:tr>
      <w:tr w:rsidR="00A80D8E" w:rsidRPr="00A80D8E" w14:paraId="0D191374" w14:textId="77777777" w:rsidTr="00EE5FA5">
        <w:trPr>
          <w:trHeight w:val="1380"/>
        </w:trPr>
        <w:tc>
          <w:tcPr>
            <w:tcW w:w="1182" w:type="dxa"/>
            <w:tcBorders>
              <w:top w:val="nil"/>
              <w:left w:val="nil"/>
              <w:bottom w:val="nil"/>
              <w:right w:val="nil"/>
            </w:tcBorders>
            <w:shd w:val="clear" w:color="000000" w:fill="E2EFDA"/>
            <w:vAlign w:val="center"/>
            <w:hideMark/>
          </w:tcPr>
          <w:p w14:paraId="5DABBDAB" w14:textId="77777777" w:rsidR="00A80D8E" w:rsidRPr="00A80D8E" w:rsidRDefault="00A80D8E" w:rsidP="00A80D8E">
            <w:pPr>
              <w:jc w:val="center"/>
              <w:rPr>
                <w:rFonts w:ascii="Calibri" w:hAnsi="Calibri" w:cs="Calibri"/>
                <w:color w:val="000000"/>
                <w:sz w:val="20"/>
                <w:szCs w:val="20"/>
              </w:rPr>
            </w:pPr>
            <w:r w:rsidRPr="00A80D8E">
              <w:rPr>
                <w:rFonts w:ascii="Calibri" w:hAnsi="Calibri" w:cs="Calibri"/>
                <w:color w:val="000000"/>
                <w:sz w:val="20"/>
                <w:szCs w:val="20"/>
              </w:rPr>
              <w:t>Close Proximity</w:t>
            </w:r>
          </w:p>
        </w:tc>
        <w:tc>
          <w:tcPr>
            <w:tcW w:w="1896" w:type="dxa"/>
            <w:tcBorders>
              <w:top w:val="nil"/>
              <w:left w:val="nil"/>
              <w:bottom w:val="nil"/>
              <w:right w:val="nil"/>
            </w:tcBorders>
            <w:shd w:val="clear" w:color="auto" w:fill="auto"/>
            <w:vAlign w:val="bottom"/>
            <w:hideMark/>
          </w:tcPr>
          <w:p w14:paraId="20984295" w14:textId="77777777" w:rsidR="00A80D8E" w:rsidRPr="00A80D8E" w:rsidRDefault="00A80D8E" w:rsidP="00A80D8E">
            <w:pPr>
              <w:jc w:val="center"/>
              <w:rPr>
                <w:rFonts w:ascii="Calibri" w:hAnsi="Calibri" w:cs="Calibri"/>
                <w:color w:val="000000"/>
                <w:sz w:val="20"/>
                <w:szCs w:val="20"/>
              </w:rPr>
            </w:pPr>
            <w:r w:rsidRPr="00A80D8E">
              <w:rPr>
                <w:rFonts w:ascii="Calibri" w:hAnsi="Calibri" w:cs="Calibri"/>
                <w:color w:val="000000"/>
                <w:sz w:val="20"/>
                <w:szCs w:val="20"/>
              </w:rPr>
              <w:t xml:space="preserve">How often do you have to have face-to-face discussions with individuals or teams in this job? </w:t>
            </w:r>
          </w:p>
        </w:tc>
        <w:tc>
          <w:tcPr>
            <w:tcW w:w="1216" w:type="dxa"/>
            <w:tcBorders>
              <w:top w:val="nil"/>
              <w:left w:val="nil"/>
              <w:bottom w:val="nil"/>
              <w:right w:val="nil"/>
            </w:tcBorders>
            <w:shd w:val="clear" w:color="auto" w:fill="auto"/>
            <w:vAlign w:val="bottom"/>
            <w:hideMark/>
          </w:tcPr>
          <w:p w14:paraId="0C3F1278"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Never</w:t>
            </w:r>
            <w:r w:rsidRPr="00A80D8E">
              <w:rPr>
                <w:rFonts w:ascii="Calibri" w:hAnsi="Calibri" w:cs="Calibri"/>
                <w:color w:val="000000"/>
                <w:sz w:val="18"/>
                <w:szCs w:val="18"/>
              </w:rPr>
              <w:br/>
              <w:t>(0)</w:t>
            </w:r>
          </w:p>
        </w:tc>
        <w:tc>
          <w:tcPr>
            <w:tcW w:w="1216" w:type="dxa"/>
            <w:tcBorders>
              <w:top w:val="nil"/>
              <w:left w:val="nil"/>
              <w:bottom w:val="nil"/>
              <w:right w:val="nil"/>
            </w:tcBorders>
            <w:shd w:val="clear" w:color="auto" w:fill="auto"/>
            <w:vAlign w:val="bottom"/>
            <w:hideMark/>
          </w:tcPr>
          <w:p w14:paraId="6AB42BE1"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Once a year or more but not every month</w:t>
            </w:r>
            <w:r w:rsidRPr="00A80D8E">
              <w:rPr>
                <w:rFonts w:ascii="Calibri" w:hAnsi="Calibri" w:cs="Calibri"/>
                <w:color w:val="000000"/>
                <w:sz w:val="18"/>
                <w:szCs w:val="18"/>
              </w:rPr>
              <w:br/>
              <w:t>(25)</w:t>
            </w:r>
          </w:p>
        </w:tc>
        <w:tc>
          <w:tcPr>
            <w:tcW w:w="1216" w:type="dxa"/>
            <w:tcBorders>
              <w:top w:val="nil"/>
              <w:left w:val="nil"/>
              <w:bottom w:val="nil"/>
              <w:right w:val="nil"/>
            </w:tcBorders>
            <w:shd w:val="clear" w:color="auto" w:fill="auto"/>
            <w:vAlign w:val="bottom"/>
            <w:hideMark/>
          </w:tcPr>
          <w:p w14:paraId="1D044FFA"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Once a month or more but not every week</w:t>
            </w:r>
            <w:r w:rsidRPr="00A80D8E">
              <w:rPr>
                <w:rFonts w:ascii="Calibri" w:hAnsi="Calibri" w:cs="Calibri"/>
                <w:color w:val="000000"/>
                <w:sz w:val="18"/>
                <w:szCs w:val="18"/>
              </w:rPr>
              <w:br/>
              <w:t>(50)</w:t>
            </w:r>
          </w:p>
        </w:tc>
        <w:tc>
          <w:tcPr>
            <w:tcW w:w="1216" w:type="dxa"/>
            <w:tcBorders>
              <w:top w:val="nil"/>
              <w:left w:val="nil"/>
              <w:bottom w:val="nil"/>
              <w:right w:val="nil"/>
            </w:tcBorders>
            <w:shd w:val="clear" w:color="auto" w:fill="auto"/>
            <w:vAlign w:val="bottom"/>
            <w:hideMark/>
          </w:tcPr>
          <w:p w14:paraId="497CD940"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Once a week or more but not every day</w:t>
            </w:r>
            <w:r w:rsidRPr="00A80D8E">
              <w:rPr>
                <w:rFonts w:ascii="Calibri" w:hAnsi="Calibri" w:cs="Calibri"/>
                <w:color w:val="000000"/>
                <w:sz w:val="18"/>
                <w:szCs w:val="18"/>
              </w:rPr>
              <w:br/>
              <w:t>(75)</w:t>
            </w:r>
          </w:p>
        </w:tc>
        <w:tc>
          <w:tcPr>
            <w:tcW w:w="1238" w:type="dxa"/>
            <w:tcBorders>
              <w:top w:val="nil"/>
              <w:left w:val="nil"/>
              <w:bottom w:val="nil"/>
              <w:right w:val="nil"/>
            </w:tcBorders>
            <w:shd w:val="clear" w:color="auto" w:fill="auto"/>
            <w:vAlign w:val="bottom"/>
            <w:hideMark/>
          </w:tcPr>
          <w:p w14:paraId="55A74544" w14:textId="77777777" w:rsidR="00A80D8E" w:rsidRPr="00A80D8E" w:rsidRDefault="00A80D8E" w:rsidP="00A80D8E">
            <w:pPr>
              <w:jc w:val="center"/>
              <w:rPr>
                <w:rFonts w:ascii="Calibri" w:hAnsi="Calibri" w:cs="Calibri"/>
                <w:color w:val="000000"/>
                <w:sz w:val="18"/>
                <w:szCs w:val="18"/>
              </w:rPr>
            </w:pPr>
            <w:r w:rsidRPr="00A80D8E">
              <w:rPr>
                <w:rFonts w:ascii="Calibri" w:hAnsi="Calibri" w:cs="Calibri"/>
                <w:color w:val="000000"/>
                <w:sz w:val="18"/>
                <w:szCs w:val="18"/>
              </w:rPr>
              <w:t>Every day</w:t>
            </w:r>
            <w:r w:rsidRPr="00A80D8E">
              <w:rPr>
                <w:rFonts w:ascii="Calibri" w:hAnsi="Calibri" w:cs="Calibri"/>
                <w:color w:val="000000"/>
                <w:sz w:val="18"/>
                <w:szCs w:val="18"/>
              </w:rPr>
              <w:br/>
              <w:t>(100)</w:t>
            </w:r>
          </w:p>
        </w:tc>
      </w:tr>
    </w:tbl>
    <w:p w14:paraId="1F80F32F" w14:textId="30FE12F7" w:rsidR="00A06B49" w:rsidRDefault="00A06B49" w:rsidP="001C48F6">
      <w:pPr>
        <w:rPr>
          <w:rFonts w:cstheme="minorHAnsi"/>
        </w:rPr>
      </w:pPr>
    </w:p>
    <w:p w14:paraId="2A219DA3" w14:textId="7475A13C" w:rsidR="001812A9" w:rsidRPr="00DA2DAF" w:rsidRDefault="004B2A9C" w:rsidP="001812A9">
      <w:pPr>
        <w:rPr>
          <w:rFonts w:cstheme="minorHAnsi"/>
        </w:rPr>
      </w:pPr>
      <w:r w:rsidRPr="005F4CC4">
        <w:rPr>
          <w:rFonts w:cstheme="minorHAnsi"/>
          <w:u w:val="single"/>
        </w:rPr>
        <w:t>Determination of O*NET scores as initial cutoff points for risk levels</w:t>
      </w:r>
      <w:r w:rsidRPr="005F4CC4">
        <w:rPr>
          <w:rFonts w:cstheme="minorHAnsi"/>
        </w:rPr>
        <w:t xml:space="preserve"> (high, mid-range, low). Next</w:t>
      </w:r>
      <w:r w:rsidR="00F864D8">
        <w:rPr>
          <w:rFonts w:cstheme="minorHAnsi"/>
        </w:rPr>
        <w:t>,</w:t>
      </w:r>
      <w:r w:rsidRPr="005F4CC4">
        <w:rPr>
          <w:rFonts w:cstheme="minorHAnsi"/>
        </w:rPr>
        <w:t xml:space="preserve"> we considered the distributions of O*NET scores on the selected questions to determine initial cut off points for dividing O*NET scores and</w:t>
      </w:r>
      <w:r w:rsidR="009B4956">
        <w:rPr>
          <w:rFonts w:cstheme="minorHAnsi"/>
        </w:rPr>
        <w:t xml:space="preserve"> </w:t>
      </w:r>
      <w:r w:rsidR="00D37929">
        <w:rPr>
          <w:rFonts w:cstheme="minorHAnsi"/>
        </w:rPr>
        <w:t xml:space="preserve">used these to </w:t>
      </w:r>
      <w:r w:rsidR="00712C43">
        <w:rPr>
          <w:rFonts w:cstheme="minorHAnsi"/>
        </w:rPr>
        <w:t>classif</w:t>
      </w:r>
      <w:r w:rsidR="009B4956">
        <w:rPr>
          <w:rFonts w:cstheme="minorHAnsi"/>
        </w:rPr>
        <w:t>y</w:t>
      </w:r>
      <w:r w:rsidR="00712C43">
        <w:rPr>
          <w:rFonts w:cstheme="minorHAnsi"/>
        </w:rPr>
        <w:t xml:space="preserve"> </w:t>
      </w:r>
      <w:r w:rsidRPr="005F4CC4">
        <w:rPr>
          <w:rFonts w:cstheme="minorHAnsi"/>
        </w:rPr>
        <w:t xml:space="preserve">occupations into </w:t>
      </w:r>
      <w:r w:rsidR="00712C43">
        <w:rPr>
          <w:rFonts w:cstheme="minorHAnsi"/>
        </w:rPr>
        <w:t>high, low</w:t>
      </w:r>
      <w:r w:rsidR="00F864D8">
        <w:rPr>
          <w:rFonts w:cstheme="minorHAnsi"/>
        </w:rPr>
        <w:t>,</w:t>
      </w:r>
      <w:r w:rsidR="00712C43">
        <w:rPr>
          <w:rFonts w:cstheme="minorHAnsi"/>
        </w:rPr>
        <w:t xml:space="preserve"> and uncertain (mid-range) exposure levels.</w:t>
      </w:r>
    </w:p>
    <w:p w14:paraId="252AD66B" w14:textId="5FB77321" w:rsidR="000E557E" w:rsidRDefault="001812A9" w:rsidP="001E6FAC">
      <w:pPr>
        <w:rPr>
          <w:rFonts w:cstheme="majorHAnsi"/>
          <w:bCs/>
        </w:rPr>
      </w:pPr>
      <w:r w:rsidRPr="005F4CC4">
        <w:rPr>
          <w:rFonts w:cstheme="minorHAnsi"/>
          <w:u w:val="single"/>
        </w:rPr>
        <w:t>Manual review of O</w:t>
      </w:r>
      <w:r>
        <w:rPr>
          <w:rFonts w:cstheme="minorHAnsi"/>
          <w:u w:val="single"/>
        </w:rPr>
        <w:t>*</w:t>
      </w:r>
      <w:r w:rsidRPr="005F4CC4">
        <w:rPr>
          <w:rFonts w:cstheme="minorHAnsi"/>
          <w:u w:val="single"/>
        </w:rPr>
        <w:t xml:space="preserve">NET scores and </w:t>
      </w:r>
      <w:r w:rsidR="008A780E">
        <w:rPr>
          <w:rFonts w:cstheme="minorHAnsi"/>
          <w:u w:val="single"/>
        </w:rPr>
        <w:t xml:space="preserve">final </w:t>
      </w:r>
      <w:r w:rsidRPr="005F4CC4">
        <w:rPr>
          <w:rFonts w:cstheme="minorHAnsi"/>
          <w:u w:val="single"/>
        </w:rPr>
        <w:t>assignment of exposure levels</w:t>
      </w:r>
      <w:r w:rsidRPr="005F4CC4">
        <w:rPr>
          <w:rFonts w:cstheme="minorHAnsi"/>
          <w:b/>
          <w:u w:val="single"/>
        </w:rPr>
        <w:t>.</w:t>
      </w:r>
      <w:r w:rsidRPr="005F4CC4">
        <w:rPr>
          <w:rFonts w:cstheme="minorHAnsi"/>
          <w:b/>
        </w:rPr>
        <w:t xml:space="preserve"> </w:t>
      </w:r>
      <w:r>
        <w:rPr>
          <w:rFonts w:cstheme="minorHAnsi"/>
        </w:rPr>
        <w:t xml:space="preserve">We then </w:t>
      </w:r>
      <w:r w:rsidRPr="005F4CC4">
        <w:rPr>
          <w:rFonts w:cstheme="minorHAnsi"/>
        </w:rPr>
        <w:t>manually reviewed occupations, considering O*NET job descriptions</w:t>
      </w:r>
      <w:r w:rsidR="00F864D8">
        <w:rPr>
          <w:rFonts w:cstheme="minorHAnsi"/>
        </w:rPr>
        <w:t>,</w:t>
      </w:r>
      <w:r w:rsidRPr="005F4CC4">
        <w:rPr>
          <w:rFonts w:cstheme="minorHAnsi"/>
        </w:rPr>
        <w:t xml:space="preserve"> and drawing on our own knowledge of occupations to resolve exposure level designations in the intermediate range</w:t>
      </w:r>
      <w:r w:rsidR="00F864D8">
        <w:rPr>
          <w:rFonts w:cstheme="minorHAnsi"/>
        </w:rPr>
        <w:t>,</w:t>
      </w:r>
      <w:r w:rsidRPr="005F4CC4">
        <w:rPr>
          <w:rFonts w:cstheme="minorHAnsi"/>
        </w:rPr>
        <w:t xml:space="preserve"> and also to identify unexpected O*NET </w:t>
      </w:r>
      <w:r w:rsidRPr="00EF43DF">
        <w:rPr>
          <w:rFonts w:cstheme="minorHAnsi"/>
        </w:rPr>
        <w:t xml:space="preserve">scores </w:t>
      </w:r>
      <w:r w:rsidR="00EF43DF">
        <w:rPr>
          <w:rFonts w:cstheme="minorHAnsi"/>
        </w:rPr>
        <w:t>-</w:t>
      </w:r>
      <w:r w:rsidRPr="00EF43DF">
        <w:rPr>
          <w:rFonts w:cstheme="minorHAnsi"/>
        </w:rPr>
        <w:t xml:space="preserve"> where</w:t>
      </w:r>
      <w:r w:rsidRPr="005F4CC4">
        <w:rPr>
          <w:rFonts w:cstheme="minorHAnsi"/>
        </w:rPr>
        <w:t xml:space="preserve"> the exposure level designation seemed too high or low in light of our focus on </w:t>
      </w:r>
      <w:r>
        <w:rPr>
          <w:rFonts w:cstheme="minorHAnsi"/>
        </w:rPr>
        <w:t>exposure to an infectious agent</w:t>
      </w:r>
      <w:r w:rsidRPr="002A59F4">
        <w:rPr>
          <w:rFonts w:cstheme="minorHAnsi"/>
        </w:rPr>
        <w:t xml:space="preserve">. </w:t>
      </w:r>
      <w:r w:rsidRPr="00D37929">
        <w:rPr>
          <w:rFonts w:cstheme="minorHAnsi"/>
        </w:rPr>
        <w:t xml:space="preserve">We consulted with health and safety experts and developed decision rules </w:t>
      </w:r>
      <w:r w:rsidR="00FA39A7" w:rsidRPr="00D37929">
        <w:rPr>
          <w:rFonts w:cstheme="minorHAnsi"/>
        </w:rPr>
        <w:t xml:space="preserve">to modify O*NET based exposure levels for these occupations.  </w:t>
      </w:r>
      <w:r w:rsidR="00FA39A7" w:rsidRPr="002A59F4">
        <w:rPr>
          <w:rFonts w:cstheme="minorHAnsi"/>
        </w:rPr>
        <w:t>Because</w:t>
      </w:r>
      <w:r w:rsidR="00FA39A7" w:rsidRPr="00032D3B">
        <w:rPr>
          <w:rFonts w:cstheme="minorHAnsi"/>
        </w:rPr>
        <w:t xml:space="preserve"> O*NET</w:t>
      </w:r>
      <w:r w:rsidR="00F864D8">
        <w:rPr>
          <w:rFonts w:cstheme="minorHAnsi"/>
        </w:rPr>
        <w:t>-</w:t>
      </w:r>
      <w:r w:rsidR="00FA39A7" w:rsidRPr="00032D3B">
        <w:rPr>
          <w:rFonts w:cstheme="minorHAnsi"/>
        </w:rPr>
        <w:t>only</w:t>
      </w:r>
      <w:r w:rsidR="00CB0206" w:rsidRPr="00032D3B">
        <w:rPr>
          <w:rFonts w:cstheme="minorHAnsi"/>
        </w:rPr>
        <w:t xml:space="preserve"> </w:t>
      </w:r>
      <w:r w:rsidR="00FA39A7" w:rsidRPr="00032D3B">
        <w:rPr>
          <w:rFonts w:cstheme="minorHAnsi"/>
        </w:rPr>
        <w:t>e</w:t>
      </w:r>
      <w:r w:rsidR="001E6FAC" w:rsidRPr="00032D3B">
        <w:rPr>
          <w:rFonts w:cstheme="minorHAnsi"/>
        </w:rPr>
        <w:t>xposure</w:t>
      </w:r>
      <w:r w:rsidR="00FA39A7" w:rsidRPr="00032D3B">
        <w:rPr>
          <w:rFonts w:cstheme="minorHAnsi"/>
        </w:rPr>
        <w:t xml:space="preserve"> de</w:t>
      </w:r>
      <w:r w:rsidR="001E6FAC" w:rsidRPr="00032D3B">
        <w:rPr>
          <w:rFonts w:cstheme="minorHAnsi"/>
        </w:rPr>
        <w:t>signations</w:t>
      </w:r>
      <w:r w:rsidR="00FA39A7" w:rsidRPr="00032D3B">
        <w:rPr>
          <w:rFonts w:cstheme="minorHAnsi"/>
        </w:rPr>
        <w:t xml:space="preserve"> </w:t>
      </w:r>
      <w:r w:rsidR="00032D3B" w:rsidRPr="00032D3B">
        <w:rPr>
          <w:rFonts w:cstheme="minorHAnsi"/>
        </w:rPr>
        <w:t xml:space="preserve">for </w:t>
      </w:r>
      <w:r w:rsidR="00032D3B" w:rsidRPr="00032D3B">
        <w:rPr>
          <w:rFonts w:cstheme="minorHAnsi"/>
          <w:i/>
        </w:rPr>
        <w:t>Close Proximity</w:t>
      </w:r>
      <w:r w:rsidR="00032D3B" w:rsidRPr="00032D3B">
        <w:rPr>
          <w:rFonts w:cstheme="minorHAnsi"/>
        </w:rPr>
        <w:t xml:space="preserve"> </w:t>
      </w:r>
      <w:r w:rsidR="00FA39A7" w:rsidRPr="00032D3B">
        <w:rPr>
          <w:rFonts w:cstheme="minorHAnsi"/>
        </w:rPr>
        <w:t>were changed for a sub</w:t>
      </w:r>
      <w:r w:rsidR="001E6FAC" w:rsidRPr="00032D3B">
        <w:rPr>
          <w:rFonts w:cstheme="minorHAnsi"/>
        </w:rPr>
        <w:t>stantial</w:t>
      </w:r>
      <w:r w:rsidR="00FA39A7" w:rsidRPr="00032D3B">
        <w:rPr>
          <w:rFonts w:cstheme="minorHAnsi"/>
        </w:rPr>
        <w:t xml:space="preserve"> number of occupations, </w:t>
      </w:r>
      <w:r w:rsidR="00FA39A7" w:rsidRPr="00032D3B">
        <w:rPr>
          <w:rFonts w:cstheme="minorHAnsi"/>
          <w:color w:val="000000" w:themeColor="text1"/>
        </w:rPr>
        <w:t xml:space="preserve">two </w:t>
      </w:r>
      <w:r w:rsidR="00FA39A7" w:rsidRPr="00032D3B">
        <w:rPr>
          <w:rFonts w:cstheme="minorHAnsi"/>
          <w:i/>
          <w:color w:val="000000" w:themeColor="text1"/>
        </w:rPr>
        <w:t>Close Proximity</w:t>
      </w:r>
      <w:r w:rsidR="00FA39A7" w:rsidRPr="00032D3B">
        <w:rPr>
          <w:rFonts w:cstheme="minorHAnsi"/>
          <w:color w:val="000000" w:themeColor="text1"/>
        </w:rPr>
        <w:t xml:space="preserve"> measures are included in the S</w:t>
      </w:r>
      <w:r w:rsidR="00E002E5">
        <w:rPr>
          <w:rFonts w:cstheme="minorHAnsi"/>
          <w:color w:val="000000" w:themeColor="text1"/>
        </w:rPr>
        <w:t>OEM</w:t>
      </w:r>
      <w:r w:rsidR="00FA39A7" w:rsidRPr="00032D3B">
        <w:rPr>
          <w:rFonts w:cstheme="minorHAnsi"/>
          <w:color w:val="000000" w:themeColor="text1"/>
        </w:rPr>
        <w:t xml:space="preserve"> – </w:t>
      </w:r>
      <w:r w:rsidR="00FA39A7" w:rsidRPr="00032D3B">
        <w:rPr>
          <w:rFonts w:cstheme="minorHAnsi"/>
          <w:i/>
          <w:color w:val="000000" w:themeColor="text1"/>
        </w:rPr>
        <w:t xml:space="preserve">Close Proximity </w:t>
      </w:r>
      <w:r w:rsidR="002164BF">
        <w:rPr>
          <w:rFonts w:cstheme="minorHAnsi"/>
          <w:i/>
          <w:color w:val="000000" w:themeColor="text1"/>
        </w:rPr>
        <w:t xml:space="preserve">Measure </w:t>
      </w:r>
      <w:r w:rsidR="00FA39A7" w:rsidRPr="00032D3B">
        <w:rPr>
          <w:rFonts w:cstheme="minorHAnsi"/>
          <w:i/>
          <w:color w:val="000000" w:themeColor="text1"/>
        </w:rPr>
        <w:t>1</w:t>
      </w:r>
      <w:r w:rsidR="00FA39A7" w:rsidRPr="00032D3B">
        <w:rPr>
          <w:rFonts w:cstheme="minorHAnsi"/>
          <w:color w:val="000000" w:themeColor="text1"/>
        </w:rPr>
        <w:t xml:space="preserve"> based solely on O*NET</w:t>
      </w:r>
      <w:r w:rsidR="00FA39A7" w:rsidRPr="005F4CC4">
        <w:rPr>
          <w:rFonts w:cstheme="minorHAnsi"/>
          <w:color w:val="000000" w:themeColor="text1"/>
        </w:rPr>
        <w:t xml:space="preserve"> scores and </w:t>
      </w:r>
      <w:r w:rsidR="00FA39A7" w:rsidRPr="005F4CC4">
        <w:rPr>
          <w:rFonts w:cstheme="minorHAnsi"/>
          <w:i/>
          <w:color w:val="000000" w:themeColor="text1"/>
        </w:rPr>
        <w:t xml:space="preserve">Close Proximity </w:t>
      </w:r>
      <w:r w:rsidR="002164BF">
        <w:rPr>
          <w:rFonts w:cstheme="minorHAnsi"/>
          <w:i/>
          <w:color w:val="000000" w:themeColor="text1"/>
        </w:rPr>
        <w:t xml:space="preserve">Measure </w:t>
      </w:r>
      <w:r w:rsidR="00FA39A7" w:rsidRPr="005F4CC4">
        <w:rPr>
          <w:rFonts w:cstheme="minorHAnsi"/>
          <w:i/>
          <w:color w:val="000000" w:themeColor="text1"/>
        </w:rPr>
        <w:t>2</w:t>
      </w:r>
      <w:r w:rsidR="00FA39A7" w:rsidRPr="005F4CC4">
        <w:rPr>
          <w:rFonts w:cstheme="minorHAnsi"/>
          <w:color w:val="000000" w:themeColor="text1"/>
        </w:rPr>
        <w:t xml:space="preserve"> based on O*Net scores coupled with</w:t>
      </w:r>
      <w:r w:rsidR="00FA39A7">
        <w:rPr>
          <w:rFonts w:cstheme="minorHAnsi"/>
          <w:color w:val="000000" w:themeColor="text1"/>
        </w:rPr>
        <w:t xml:space="preserve"> expert review.</w:t>
      </w:r>
      <w:r w:rsidR="001E6FAC" w:rsidRPr="001E6FAC">
        <w:rPr>
          <w:rFonts w:cstheme="majorHAnsi"/>
          <w:bCs/>
        </w:rPr>
        <w:t xml:space="preserve"> </w:t>
      </w:r>
    </w:p>
    <w:p w14:paraId="365B434C" w14:textId="1BC8AE67" w:rsidR="00E60F8C" w:rsidRPr="00D3038F" w:rsidDel="00D3038F" w:rsidRDefault="00CB0206" w:rsidP="0042462C">
      <w:pPr>
        <w:rPr>
          <w:rFonts w:cstheme="majorHAnsi"/>
          <w:bCs/>
        </w:rPr>
      </w:pPr>
      <w:r w:rsidRPr="00130250">
        <w:rPr>
          <w:rFonts w:cstheme="majorHAnsi"/>
          <w:bCs/>
        </w:rPr>
        <w:t xml:space="preserve">The final measure for </w:t>
      </w:r>
      <w:r w:rsidRPr="00130250">
        <w:rPr>
          <w:rFonts w:cstheme="majorHAnsi"/>
          <w:bCs/>
          <w:i/>
        </w:rPr>
        <w:t xml:space="preserve">Public Facing </w:t>
      </w:r>
      <w:r w:rsidRPr="00130250">
        <w:rPr>
          <w:rFonts w:cstheme="majorHAnsi"/>
          <w:bCs/>
        </w:rPr>
        <w:t xml:space="preserve">work is a dichotomous variable and occupations </w:t>
      </w:r>
      <w:r w:rsidR="00032D3B">
        <w:rPr>
          <w:rFonts w:cstheme="majorHAnsi"/>
          <w:bCs/>
        </w:rPr>
        <w:t xml:space="preserve">about which we remained uncertain </w:t>
      </w:r>
      <w:r w:rsidRPr="00130250">
        <w:rPr>
          <w:rFonts w:cstheme="majorHAnsi"/>
          <w:bCs/>
        </w:rPr>
        <w:t xml:space="preserve">were included in the “Not public facing” category. </w:t>
      </w:r>
      <w:r w:rsidRPr="006C2985">
        <w:rPr>
          <w:rFonts w:cstheme="majorHAnsi"/>
          <w:bCs/>
        </w:rPr>
        <w:t>The exposure measures for both</w:t>
      </w:r>
      <w:r w:rsidR="0087359F">
        <w:rPr>
          <w:rFonts w:cstheme="majorHAnsi"/>
          <w:bCs/>
        </w:rPr>
        <w:t xml:space="preserve"> </w:t>
      </w:r>
      <w:r w:rsidRPr="006C2985">
        <w:rPr>
          <w:rFonts w:cstheme="majorHAnsi"/>
          <w:bCs/>
          <w:i/>
        </w:rPr>
        <w:t>Working Indoors</w:t>
      </w:r>
      <w:r w:rsidRPr="006C2985">
        <w:rPr>
          <w:rFonts w:cstheme="majorHAnsi"/>
          <w:bCs/>
        </w:rPr>
        <w:t xml:space="preserve"> and </w:t>
      </w:r>
      <w:r w:rsidRPr="006C2985">
        <w:rPr>
          <w:rFonts w:cstheme="majorHAnsi"/>
          <w:bCs/>
          <w:i/>
        </w:rPr>
        <w:t>Close Prox</w:t>
      </w:r>
      <w:r w:rsidR="00D3038F">
        <w:rPr>
          <w:rFonts w:cstheme="majorHAnsi"/>
          <w:bCs/>
          <w:i/>
        </w:rPr>
        <w:t>i</w:t>
      </w:r>
      <w:r w:rsidR="0014250D" w:rsidRPr="006C2985">
        <w:rPr>
          <w:rFonts w:cstheme="majorHAnsi"/>
          <w:bCs/>
          <w:i/>
        </w:rPr>
        <w:t>mity</w:t>
      </w:r>
      <w:r w:rsidR="006C2985" w:rsidRPr="006C2985">
        <w:rPr>
          <w:rFonts w:cstheme="majorHAnsi"/>
          <w:bCs/>
        </w:rPr>
        <w:t xml:space="preserve"> </w:t>
      </w:r>
      <w:r w:rsidR="006C2985" w:rsidRPr="00D3038F">
        <w:rPr>
          <w:rFonts w:cstheme="majorHAnsi"/>
          <w:bCs/>
        </w:rPr>
        <w:t>each</w:t>
      </w:r>
      <w:r w:rsidR="00BB7171">
        <w:rPr>
          <w:rFonts w:cstheme="majorHAnsi"/>
          <w:bCs/>
        </w:rPr>
        <w:t xml:space="preserve"> </w:t>
      </w:r>
      <w:r w:rsidR="006C2985" w:rsidRPr="00D3038F">
        <w:rPr>
          <w:rFonts w:cstheme="majorHAnsi"/>
          <w:bCs/>
        </w:rPr>
        <w:t>have four levels of exposu</w:t>
      </w:r>
      <w:r w:rsidR="00D3038F">
        <w:rPr>
          <w:rFonts w:cstheme="majorHAnsi"/>
          <w:bCs/>
        </w:rPr>
        <w:t>re (Table 2).</w:t>
      </w:r>
      <w:r w:rsidR="0088671F">
        <w:rPr>
          <w:rFonts w:cstheme="majorHAnsi"/>
          <w:bCs/>
        </w:rPr>
        <w:t xml:space="preserve"> The distributions of SOC occupations and the U.S. workforce by exposure level for each of the three risk factors </w:t>
      </w:r>
      <w:r w:rsidR="00B83F1A">
        <w:rPr>
          <w:rFonts w:cstheme="majorHAnsi"/>
          <w:bCs/>
        </w:rPr>
        <w:t>are</w:t>
      </w:r>
      <w:r w:rsidR="0088671F">
        <w:rPr>
          <w:rFonts w:cstheme="majorHAnsi"/>
          <w:bCs/>
        </w:rPr>
        <w:t xml:space="preserve"> presented in Table 3.</w:t>
      </w:r>
    </w:p>
    <w:p w14:paraId="1908BDA8" w14:textId="0FC07669" w:rsidR="00DA2DAF" w:rsidRDefault="00DA2DAF" w:rsidP="00914B18">
      <w:pPr>
        <w:pStyle w:val="Caption"/>
        <w:keepLines/>
      </w:pPr>
      <w:r>
        <w:t xml:space="preserve">Table </w:t>
      </w:r>
      <w:r>
        <w:fldChar w:fldCharType="begin"/>
      </w:r>
      <w:r>
        <w:instrText>SEQ Table \* ARABIC</w:instrText>
      </w:r>
      <w:r>
        <w:fldChar w:fldCharType="separate"/>
      </w:r>
      <w:r w:rsidR="003C1062">
        <w:rPr>
          <w:noProof/>
        </w:rPr>
        <w:t>2</w:t>
      </w:r>
      <w:r>
        <w:fldChar w:fldCharType="end"/>
      </w:r>
      <w:r>
        <w:t>. Ordinal measures of exposure to SARS-CoV-2 based on</w:t>
      </w:r>
      <w:r w:rsidR="007A1B48">
        <w:t xml:space="preserve"> the three risk factors</w:t>
      </w:r>
    </w:p>
    <w:tbl>
      <w:tblPr>
        <w:tblStyle w:val="TableGrid"/>
        <w:tblW w:w="8010" w:type="dxa"/>
        <w:tblInd w:w="625" w:type="dxa"/>
        <w:tblLook w:val="0420" w:firstRow="1" w:lastRow="0" w:firstColumn="0" w:lastColumn="0" w:noHBand="0" w:noVBand="1"/>
      </w:tblPr>
      <w:tblGrid>
        <w:gridCol w:w="2430"/>
        <w:gridCol w:w="3335"/>
        <w:gridCol w:w="2245"/>
      </w:tblGrid>
      <w:tr w:rsidR="00870988" w:rsidRPr="00870988" w14:paraId="4C68D3D8" w14:textId="77777777" w:rsidTr="00914B18">
        <w:tc>
          <w:tcPr>
            <w:tcW w:w="2430" w:type="dxa"/>
            <w:tcBorders>
              <w:top w:val="nil"/>
              <w:left w:val="single" w:sz="4" w:space="0" w:color="4472C4" w:themeColor="accent1"/>
              <w:bottom w:val="nil"/>
              <w:right w:val="nil"/>
            </w:tcBorders>
            <w:shd w:val="clear" w:color="auto" w:fill="auto"/>
          </w:tcPr>
          <w:p w14:paraId="4C9D238F" w14:textId="5A7D9499" w:rsidR="00870988" w:rsidRPr="00445985" w:rsidRDefault="00870988" w:rsidP="00914B18">
            <w:pPr>
              <w:keepNext/>
              <w:keepLines/>
              <w:jc w:val="center"/>
              <w:rPr>
                <w:rFonts w:cstheme="minorHAnsi"/>
                <w:b/>
                <w:color w:val="2F5496" w:themeColor="accent1" w:themeShade="BF"/>
              </w:rPr>
            </w:pPr>
            <w:r w:rsidRPr="00445985">
              <w:rPr>
                <w:rFonts w:cstheme="minorHAnsi"/>
                <w:b/>
                <w:color w:val="2F5496" w:themeColor="accent1" w:themeShade="BF"/>
              </w:rPr>
              <w:t xml:space="preserve">Public Facing </w:t>
            </w:r>
            <w:proofErr w:type="spellStart"/>
            <w:r w:rsidRPr="00445985">
              <w:rPr>
                <w:rFonts w:cstheme="minorHAnsi"/>
                <w:b/>
                <w:color w:val="2F5496" w:themeColor="accent1" w:themeShade="BF"/>
              </w:rPr>
              <w:t>Work</w:t>
            </w:r>
            <w:r w:rsidR="003D52CA" w:rsidRPr="003D52CA">
              <w:rPr>
                <w:rFonts w:cstheme="minorHAnsi"/>
                <w:b/>
                <w:color w:val="2F5496" w:themeColor="accent1" w:themeShade="BF"/>
                <w:vertAlign w:val="superscript"/>
              </w:rPr>
              <w:t>a</w:t>
            </w:r>
            <w:proofErr w:type="spellEnd"/>
          </w:p>
        </w:tc>
        <w:tc>
          <w:tcPr>
            <w:tcW w:w="3335" w:type="dxa"/>
            <w:tcBorders>
              <w:top w:val="nil"/>
              <w:left w:val="nil"/>
              <w:bottom w:val="nil"/>
              <w:right w:val="nil"/>
            </w:tcBorders>
            <w:shd w:val="clear" w:color="auto" w:fill="auto"/>
          </w:tcPr>
          <w:p w14:paraId="436A1318" w14:textId="77777777" w:rsidR="00870988" w:rsidRPr="00445985" w:rsidRDefault="00870988" w:rsidP="00914B18">
            <w:pPr>
              <w:keepNext/>
              <w:keepLines/>
              <w:jc w:val="center"/>
              <w:rPr>
                <w:rFonts w:cstheme="minorHAnsi"/>
                <w:b/>
                <w:color w:val="2F5496" w:themeColor="accent1" w:themeShade="BF"/>
              </w:rPr>
            </w:pPr>
            <w:r w:rsidRPr="00445985">
              <w:rPr>
                <w:rFonts w:cstheme="minorHAnsi"/>
                <w:b/>
                <w:color w:val="2F5496" w:themeColor="accent1" w:themeShade="BF"/>
              </w:rPr>
              <w:t>Working Indoors</w:t>
            </w:r>
          </w:p>
        </w:tc>
        <w:tc>
          <w:tcPr>
            <w:tcW w:w="2245" w:type="dxa"/>
            <w:tcBorders>
              <w:top w:val="nil"/>
              <w:left w:val="nil"/>
              <w:bottom w:val="nil"/>
              <w:right w:val="single" w:sz="4" w:space="0" w:color="4472C4" w:themeColor="accent1"/>
            </w:tcBorders>
            <w:shd w:val="clear" w:color="auto" w:fill="auto"/>
          </w:tcPr>
          <w:p w14:paraId="576B5A02" w14:textId="2A9BB0DF" w:rsidR="00870988" w:rsidRPr="00445985" w:rsidRDefault="00870988" w:rsidP="00914B18">
            <w:pPr>
              <w:keepNext/>
              <w:keepLines/>
              <w:jc w:val="center"/>
              <w:rPr>
                <w:rFonts w:cstheme="minorHAnsi"/>
                <w:b/>
                <w:color w:val="2F5496" w:themeColor="accent1" w:themeShade="BF"/>
                <w:vertAlign w:val="superscript"/>
              </w:rPr>
            </w:pPr>
            <w:r w:rsidRPr="00445985">
              <w:rPr>
                <w:rFonts w:cstheme="minorHAnsi"/>
                <w:b/>
                <w:color w:val="2F5496" w:themeColor="accent1" w:themeShade="BF"/>
              </w:rPr>
              <w:t>Close Proximity</w:t>
            </w:r>
            <w:r w:rsidR="00EE5FA5">
              <w:rPr>
                <w:rFonts w:cstheme="minorHAnsi"/>
                <w:b/>
                <w:color w:val="2F5496" w:themeColor="accent1" w:themeShade="BF"/>
              </w:rPr>
              <w:t xml:space="preserve"> </w:t>
            </w:r>
            <w:r w:rsidRPr="00445985">
              <w:rPr>
                <w:rFonts w:cstheme="minorHAnsi"/>
                <w:b/>
                <w:color w:val="2F5496" w:themeColor="accent1" w:themeShade="BF"/>
                <w:vertAlign w:val="superscript"/>
              </w:rPr>
              <w:t>b</w:t>
            </w:r>
          </w:p>
        </w:tc>
      </w:tr>
      <w:tr w:rsidR="00870988" w:rsidRPr="00870988" w14:paraId="02203394" w14:textId="77777777" w:rsidTr="00914B18">
        <w:tc>
          <w:tcPr>
            <w:tcW w:w="2430" w:type="dxa"/>
            <w:tcBorders>
              <w:top w:val="nil"/>
              <w:left w:val="single" w:sz="4" w:space="0" w:color="4472C4" w:themeColor="accent1"/>
              <w:bottom w:val="nil"/>
              <w:right w:val="nil"/>
            </w:tcBorders>
            <w:shd w:val="clear" w:color="auto" w:fill="auto"/>
          </w:tcPr>
          <w:p w14:paraId="6C93EC7E" w14:textId="77777777" w:rsidR="00870988" w:rsidRPr="00445985" w:rsidRDefault="00870988" w:rsidP="00914B18">
            <w:pPr>
              <w:keepNext/>
              <w:keepLines/>
              <w:rPr>
                <w:rFonts w:cstheme="minorHAnsi"/>
              </w:rPr>
            </w:pPr>
            <w:r w:rsidRPr="00445985">
              <w:rPr>
                <w:rFonts w:cstheme="minorHAnsi"/>
              </w:rPr>
              <w:t xml:space="preserve">  2 - Public facing</w:t>
            </w:r>
          </w:p>
        </w:tc>
        <w:tc>
          <w:tcPr>
            <w:tcW w:w="3335" w:type="dxa"/>
            <w:tcBorders>
              <w:top w:val="nil"/>
              <w:left w:val="nil"/>
              <w:bottom w:val="nil"/>
              <w:right w:val="nil"/>
            </w:tcBorders>
            <w:shd w:val="clear" w:color="auto" w:fill="auto"/>
          </w:tcPr>
          <w:p w14:paraId="01E4949D" w14:textId="77777777" w:rsidR="00870988" w:rsidRPr="00445985" w:rsidRDefault="00870988" w:rsidP="00914B18">
            <w:pPr>
              <w:keepNext/>
              <w:keepLines/>
              <w:rPr>
                <w:rFonts w:cstheme="minorHAnsi"/>
              </w:rPr>
            </w:pPr>
            <w:r w:rsidRPr="00445985">
              <w:rPr>
                <w:rFonts w:cstheme="minorHAnsi"/>
              </w:rPr>
              <w:t xml:space="preserve">  4 - Primarily indoors</w:t>
            </w:r>
          </w:p>
        </w:tc>
        <w:tc>
          <w:tcPr>
            <w:tcW w:w="2245" w:type="dxa"/>
            <w:tcBorders>
              <w:top w:val="nil"/>
              <w:left w:val="nil"/>
              <w:bottom w:val="nil"/>
              <w:right w:val="single" w:sz="4" w:space="0" w:color="4472C4" w:themeColor="accent1"/>
            </w:tcBorders>
            <w:shd w:val="clear" w:color="auto" w:fill="auto"/>
          </w:tcPr>
          <w:p w14:paraId="392601CF" w14:textId="77777777" w:rsidR="00870988" w:rsidRPr="00445985" w:rsidRDefault="00870988" w:rsidP="00914B18">
            <w:pPr>
              <w:keepNext/>
              <w:keepLines/>
              <w:rPr>
                <w:rFonts w:cstheme="minorHAnsi"/>
                <w:vertAlign w:val="superscript"/>
              </w:rPr>
            </w:pPr>
            <w:r w:rsidRPr="00445985">
              <w:rPr>
                <w:rFonts w:cstheme="minorHAnsi"/>
              </w:rPr>
              <w:t xml:space="preserve">  4 - Very close</w:t>
            </w:r>
          </w:p>
        </w:tc>
      </w:tr>
      <w:tr w:rsidR="00870988" w:rsidRPr="00870988" w14:paraId="5604EEB6" w14:textId="77777777" w:rsidTr="00914B18">
        <w:trPr>
          <w:trHeight w:val="144"/>
        </w:trPr>
        <w:tc>
          <w:tcPr>
            <w:tcW w:w="2430" w:type="dxa"/>
            <w:tcBorders>
              <w:top w:val="nil"/>
              <w:left w:val="single" w:sz="4" w:space="0" w:color="4472C4" w:themeColor="accent1"/>
              <w:bottom w:val="nil"/>
              <w:right w:val="nil"/>
            </w:tcBorders>
            <w:shd w:val="clear" w:color="auto" w:fill="auto"/>
          </w:tcPr>
          <w:p w14:paraId="286762EC" w14:textId="77777777" w:rsidR="00870988" w:rsidRPr="00445985" w:rsidRDefault="00870988" w:rsidP="00914B18">
            <w:pPr>
              <w:keepNext/>
              <w:keepLines/>
              <w:rPr>
                <w:rFonts w:cstheme="minorHAnsi"/>
                <w:vertAlign w:val="superscript"/>
              </w:rPr>
            </w:pPr>
            <w:r w:rsidRPr="00445985">
              <w:rPr>
                <w:rFonts w:cstheme="minorHAnsi"/>
              </w:rPr>
              <w:t xml:space="preserve">  1 - Not public </w:t>
            </w:r>
            <w:proofErr w:type="spellStart"/>
            <w:r w:rsidRPr="00445985">
              <w:rPr>
                <w:rFonts w:cstheme="minorHAnsi"/>
              </w:rPr>
              <w:t>facing</w:t>
            </w:r>
            <w:r w:rsidRPr="00445985">
              <w:rPr>
                <w:rFonts w:cstheme="minorHAnsi"/>
                <w:vertAlign w:val="superscript"/>
              </w:rPr>
              <w:t>a</w:t>
            </w:r>
            <w:proofErr w:type="spellEnd"/>
          </w:p>
        </w:tc>
        <w:tc>
          <w:tcPr>
            <w:tcW w:w="3335" w:type="dxa"/>
            <w:tcBorders>
              <w:top w:val="nil"/>
              <w:left w:val="nil"/>
              <w:bottom w:val="nil"/>
              <w:right w:val="nil"/>
            </w:tcBorders>
            <w:shd w:val="clear" w:color="auto" w:fill="auto"/>
          </w:tcPr>
          <w:p w14:paraId="214ACD62" w14:textId="77777777" w:rsidR="00870988" w:rsidRPr="00445985" w:rsidRDefault="00870988" w:rsidP="00914B18">
            <w:pPr>
              <w:keepNext/>
              <w:keepLines/>
              <w:rPr>
                <w:rFonts w:cstheme="minorHAnsi"/>
              </w:rPr>
            </w:pPr>
            <w:r w:rsidRPr="00445985">
              <w:rPr>
                <w:rFonts w:cstheme="minorHAnsi"/>
              </w:rPr>
              <w:t xml:space="preserve">  3 - Mixed: often indoors</w:t>
            </w:r>
          </w:p>
        </w:tc>
        <w:tc>
          <w:tcPr>
            <w:tcW w:w="2245" w:type="dxa"/>
            <w:tcBorders>
              <w:top w:val="nil"/>
              <w:left w:val="nil"/>
              <w:bottom w:val="nil"/>
              <w:right w:val="single" w:sz="4" w:space="0" w:color="4472C4" w:themeColor="accent1"/>
            </w:tcBorders>
            <w:shd w:val="clear" w:color="auto" w:fill="auto"/>
          </w:tcPr>
          <w:p w14:paraId="4DB5E452" w14:textId="77777777" w:rsidR="00870988" w:rsidRPr="00445985" w:rsidRDefault="00870988" w:rsidP="00914B18">
            <w:pPr>
              <w:keepNext/>
              <w:keepLines/>
              <w:rPr>
                <w:rFonts w:cstheme="minorHAnsi"/>
              </w:rPr>
            </w:pPr>
            <w:r w:rsidRPr="00445985">
              <w:rPr>
                <w:rFonts w:cstheme="minorHAnsi"/>
              </w:rPr>
              <w:t xml:space="preserve">  3 - Close</w:t>
            </w:r>
          </w:p>
        </w:tc>
      </w:tr>
      <w:tr w:rsidR="00870988" w:rsidRPr="00870988" w14:paraId="21E0233B" w14:textId="77777777" w:rsidTr="00914B18">
        <w:tc>
          <w:tcPr>
            <w:tcW w:w="2430" w:type="dxa"/>
            <w:tcBorders>
              <w:top w:val="nil"/>
              <w:left w:val="single" w:sz="4" w:space="0" w:color="4472C4" w:themeColor="accent1"/>
              <w:bottom w:val="nil"/>
              <w:right w:val="nil"/>
            </w:tcBorders>
            <w:shd w:val="clear" w:color="auto" w:fill="auto"/>
          </w:tcPr>
          <w:p w14:paraId="16469C8E" w14:textId="77777777" w:rsidR="00870988" w:rsidRPr="00445985" w:rsidRDefault="00870988" w:rsidP="00914B18">
            <w:pPr>
              <w:keepNext/>
              <w:keepLines/>
              <w:rPr>
                <w:rFonts w:cstheme="minorHAnsi"/>
              </w:rPr>
            </w:pPr>
          </w:p>
        </w:tc>
        <w:tc>
          <w:tcPr>
            <w:tcW w:w="3335" w:type="dxa"/>
            <w:tcBorders>
              <w:top w:val="nil"/>
              <w:left w:val="nil"/>
              <w:bottom w:val="nil"/>
              <w:right w:val="nil"/>
            </w:tcBorders>
            <w:shd w:val="clear" w:color="auto" w:fill="auto"/>
          </w:tcPr>
          <w:p w14:paraId="2DF09E4C" w14:textId="77777777" w:rsidR="00870988" w:rsidRPr="00445985" w:rsidRDefault="00870988" w:rsidP="00914B18">
            <w:pPr>
              <w:keepNext/>
              <w:keepLines/>
              <w:rPr>
                <w:rFonts w:cstheme="minorHAnsi"/>
              </w:rPr>
            </w:pPr>
            <w:r w:rsidRPr="00445985">
              <w:rPr>
                <w:rFonts w:cstheme="minorHAnsi"/>
              </w:rPr>
              <w:t xml:space="preserve">  2 - Mixed: often outdoors</w:t>
            </w:r>
          </w:p>
        </w:tc>
        <w:tc>
          <w:tcPr>
            <w:tcW w:w="2245" w:type="dxa"/>
            <w:tcBorders>
              <w:top w:val="nil"/>
              <w:left w:val="nil"/>
              <w:bottom w:val="nil"/>
              <w:right w:val="single" w:sz="4" w:space="0" w:color="4472C4" w:themeColor="accent1"/>
            </w:tcBorders>
            <w:shd w:val="clear" w:color="auto" w:fill="auto"/>
          </w:tcPr>
          <w:p w14:paraId="02F5919F" w14:textId="77777777" w:rsidR="00870988" w:rsidRPr="00445985" w:rsidRDefault="00870988" w:rsidP="00914B18">
            <w:pPr>
              <w:keepNext/>
              <w:keepLines/>
              <w:rPr>
                <w:rFonts w:cstheme="minorHAnsi"/>
              </w:rPr>
            </w:pPr>
            <w:r w:rsidRPr="00445985">
              <w:rPr>
                <w:rFonts w:cstheme="minorHAnsi"/>
              </w:rPr>
              <w:t xml:space="preserve">  2 - Somewhat close</w:t>
            </w:r>
          </w:p>
        </w:tc>
      </w:tr>
      <w:tr w:rsidR="00870988" w:rsidRPr="00870988" w14:paraId="3955832C" w14:textId="77777777" w:rsidTr="00914B18">
        <w:tc>
          <w:tcPr>
            <w:tcW w:w="2430" w:type="dxa"/>
            <w:tcBorders>
              <w:top w:val="nil"/>
              <w:left w:val="single" w:sz="4" w:space="0" w:color="4472C4" w:themeColor="accent1"/>
              <w:bottom w:val="nil"/>
              <w:right w:val="nil"/>
            </w:tcBorders>
            <w:shd w:val="clear" w:color="auto" w:fill="auto"/>
          </w:tcPr>
          <w:p w14:paraId="2EB45731" w14:textId="77777777" w:rsidR="00870988" w:rsidRPr="00445985" w:rsidRDefault="00870988" w:rsidP="00914B18">
            <w:pPr>
              <w:keepNext/>
              <w:keepLines/>
              <w:rPr>
                <w:rFonts w:cstheme="minorHAnsi"/>
              </w:rPr>
            </w:pPr>
          </w:p>
        </w:tc>
        <w:tc>
          <w:tcPr>
            <w:tcW w:w="3335" w:type="dxa"/>
            <w:tcBorders>
              <w:top w:val="nil"/>
              <w:left w:val="nil"/>
              <w:bottom w:val="nil"/>
              <w:right w:val="nil"/>
            </w:tcBorders>
            <w:shd w:val="clear" w:color="auto" w:fill="auto"/>
          </w:tcPr>
          <w:p w14:paraId="5781CB97" w14:textId="77777777" w:rsidR="00870988" w:rsidRPr="00445985" w:rsidRDefault="00870988" w:rsidP="00914B18">
            <w:pPr>
              <w:keepNext/>
              <w:keepLines/>
              <w:rPr>
                <w:rFonts w:cstheme="minorHAnsi"/>
              </w:rPr>
            </w:pPr>
            <w:r w:rsidRPr="00445985">
              <w:rPr>
                <w:rFonts w:cstheme="minorHAnsi"/>
              </w:rPr>
              <w:t xml:space="preserve">  1 - Primarily outdoors</w:t>
            </w:r>
          </w:p>
        </w:tc>
        <w:tc>
          <w:tcPr>
            <w:tcW w:w="2245" w:type="dxa"/>
            <w:tcBorders>
              <w:top w:val="nil"/>
              <w:left w:val="nil"/>
              <w:bottom w:val="nil"/>
              <w:right w:val="single" w:sz="4" w:space="0" w:color="4472C4" w:themeColor="accent1"/>
            </w:tcBorders>
            <w:shd w:val="clear" w:color="auto" w:fill="auto"/>
          </w:tcPr>
          <w:p w14:paraId="296C4310" w14:textId="77777777" w:rsidR="00870988" w:rsidRPr="00445985" w:rsidRDefault="00870988" w:rsidP="00914B18">
            <w:pPr>
              <w:keepNext/>
              <w:keepLines/>
              <w:rPr>
                <w:rFonts w:cstheme="minorHAnsi"/>
              </w:rPr>
            </w:pPr>
            <w:r w:rsidRPr="00445985">
              <w:rPr>
                <w:rFonts w:cstheme="minorHAnsi"/>
              </w:rPr>
              <w:t xml:space="preserve">  1 - Not close</w:t>
            </w:r>
          </w:p>
        </w:tc>
      </w:tr>
    </w:tbl>
    <w:p w14:paraId="1533074F" w14:textId="2737F407" w:rsidR="00E60F8C" w:rsidRPr="00EE5FA5" w:rsidRDefault="00EE5FA5" w:rsidP="00EE5FA5">
      <w:pPr>
        <w:pStyle w:val="BodyText2"/>
      </w:pPr>
      <w:proofErr w:type="spellStart"/>
      <w:r w:rsidRPr="00C24762">
        <w:rPr>
          <w:sz w:val="22"/>
          <w:szCs w:val="22"/>
          <w:vertAlign w:val="superscript"/>
        </w:rPr>
        <w:t>a</w:t>
      </w:r>
      <w:proofErr w:type="spellEnd"/>
      <w:r w:rsidRPr="00C24762">
        <w:rPr>
          <w:sz w:val="22"/>
          <w:szCs w:val="22"/>
          <w:vertAlign w:val="superscript"/>
        </w:rPr>
        <w:t xml:space="preserve"> </w:t>
      </w:r>
      <w:r w:rsidRPr="00EE5FA5">
        <w:t>Includes occupations for which public facing was uncertain.</w:t>
      </w:r>
      <w:r>
        <w:br/>
      </w:r>
      <w:r w:rsidRPr="00C24762">
        <w:rPr>
          <w:sz w:val="22"/>
          <w:szCs w:val="22"/>
          <w:vertAlign w:val="superscript"/>
        </w:rPr>
        <w:t xml:space="preserve">b </w:t>
      </w:r>
      <w:r w:rsidRPr="00EE5FA5">
        <w:t>4-Nearly arms distance or closer (O*NET Proximity question score of ≥68); 3-Between shared office space (O*NET proximity question score of 50) and Very Close with high likelihood of both working in teams AND face-to-face discussions; 2- Between shared office space and Very Close with high likelihood of working in teams OR face-to-face discussions; 1-Beyond shared office space or Between shared office space and Very Close but lower likelihood of working in teams or face-to face discussions.</w:t>
      </w:r>
    </w:p>
    <w:p w14:paraId="24787FAA" w14:textId="28E738A4" w:rsidR="0085716A" w:rsidRDefault="0085716A" w:rsidP="0085716A">
      <w:pPr>
        <w:pStyle w:val="Caption"/>
      </w:pPr>
      <w:r>
        <w:t xml:space="preserve">Table </w:t>
      </w:r>
      <w:r>
        <w:fldChar w:fldCharType="begin"/>
      </w:r>
      <w:r>
        <w:instrText>SEQ Table \* ARABIC</w:instrText>
      </w:r>
      <w:r>
        <w:fldChar w:fldCharType="separate"/>
      </w:r>
      <w:r w:rsidR="003C1062">
        <w:rPr>
          <w:noProof/>
        </w:rPr>
        <w:t>3</w:t>
      </w:r>
      <w:r>
        <w:fldChar w:fldCharType="end"/>
      </w:r>
      <w:r w:rsidRPr="00541576">
        <w:t>. Distribution of SOC occupations</w:t>
      </w:r>
      <w:r w:rsidRPr="0085716A">
        <w:rPr>
          <w:smallCaps w:val="0"/>
          <w:vertAlign w:val="superscript"/>
        </w:rPr>
        <w:t xml:space="preserve"> a</w:t>
      </w:r>
      <w:r w:rsidRPr="00541576">
        <w:t xml:space="preserve"> and the U.S. workforce</w:t>
      </w:r>
      <w:r w:rsidRPr="0085716A">
        <w:rPr>
          <w:smallCaps w:val="0"/>
          <w:vertAlign w:val="superscript"/>
        </w:rPr>
        <w:t xml:space="preserve"> b</w:t>
      </w:r>
      <w:r w:rsidRPr="00541576">
        <w:t xml:space="preserve"> by level of exposure by workplace risk factor, excluding health care occupations and workers</w:t>
      </w:r>
    </w:p>
    <w:tbl>
      <w:tblPr>
        <w:tblW w:w="9040" w:type="dxa"/>
        <w:tblLayout w:type="fixed"/>
        <w:tblLook w:val="04A0" w:firstRow="1" w:lastRow="0" w:firstColumn="1" w:lastColumn="0" w:noHBand="0" w:noVBand="1"/>
      </w:tblPr>
      <w:tblGrid>
        <w:gridCol w:w="1890"/>
        <w:gridCol w:w="2148"/>
        <w:gridCol w:w="192"/>
        <w:gridCol w:w="1068"/>
        <w:gridCol w:w="102"/>
        <w:gridCol w:w="1150"/>
        <w:gridCol w:w="110"/>
        <w:gridCol w:w="1168"/>
        <w:gridCol w:w="92"/>
        <w:gridCol w:w="1120"/>
      </w:tblGrid>
      <w:tr w:rsidR="00497593" w:rsidRPr="00497593" w14:paraId="2BC654F1" w14:textId="77777777" w:rsidTr="00A2143C">
        <w:trPr>
          <w:trHeight w:val="1065"/>
        </w:trPr>
        <w:tc>
          <w:tcPr>
            <w:tcW w:w="1890" w:type="dxa"/>
            <w:tcBorders>
              <w:top w:val="nil"/>
              <w:left w:val="nil"/>
              <w:bottom w:val="nil"/>
              <w:right w:val="nil"/>
            </w:tcBorders>
            <w:shd w:val="clear" w:color="auto" w:fill="auto"/>
            <w:vAlign w:val="bottom"/>
            <w:hideMark/>
          </w:tcPr>
          <w:p w14:paraId="58A68FB1" w14:textId="77777777" w:rsidR="00497593" w:rsidRPr="00497593" w:rsidRDefault="00497593" w:rsidP="00497593">
            <w:pPr>
              <w:spacing w:after="0" w:line="240" w:lineRule="auto"/>
              <w:jc w:val="center"/>
              <w:rPr>
                <w:rFonts w:ascii="Calibri" w:eastAsia="Times New Roman" w:hAnsi="Calibri" w:cs="Times New Roman"/>
                <w:b/>
                <w:bCs/>
                <w:color w:val="000000"/>
                <w:sz w:val="20"/>
                <w:szCs w:val="20"/>
              </w:rPr>
            </w:pPr>
            <w:r w:rsidRPr="00497593">
              <w:rPr>
                <w:rFonts w:ascii="Calibri" w:eastAsia="Times New Roman" w:hAnsi="Calibri" w:cs="Times New Roman"/>
                <w:b/>
                <w:bCs/>
                <w:color w:val="000000"/>
                <w:sz w:val="20"/>
                <w:szCs w:val="20"/>
              </w:rPr>
              <w:t>Workplace Risk Factor</w:t>
            </w:r>
          </w:p>
        </w:tc>
        <w:tc>
          <w:tcPr>
            <w:tcW w:w="2340" w:type="dxa"/>
            <w:gridSpan w:val="2"/>
            <w:tcBorders>
              <w:top w:val="nil"/>
              <w:left w:val="nil"/>
              <w:bottom w:val="nil"/>
              <w:right w:val="nil"/>
            </w:tcBorders>
            <w:shd w:val="clear" w:color="auto" w:fill="auto"/>
            <w:noWrap/>
            <w:vAlign w:val="bottom"/>
            <w:hideMark/>
          </w:tcPr>
          <w:p w14:paraId="08E34DF9" w14:textId="77777777" w:rsidR="00497593" w:rsidRPr="00497593" w:rsidRDefault="00497593" w:rsidP="00497593">
            <w:pPr>
              <w:spacing w:after="0" w:line="240" w:lineRule="auto"/>
              <w:jc w:val="center"/>
              <w:rPr>
                <w:rFonts w:ascii="Calibri" w:eastAsia="Times New Roman" w:hAnsi="Calibri" w:cs="Times New Roman"/>
                <w:b/>
                <w:bCs/>
                <w:color w:val="000000"/>
                <w:sz w:val="20"/>
                <w:szCs w:val="20"/>
              </w:rPr>
            </w:pPr>
            <w:r w:rsidRPr="00497593">
              <w:rPr>
                <w:rFonts w:ascii="Calibri" w:eastAsia="Times New Roman" w:hAnsi="Calibri" w:cs="Times New Roman"/>
                <w:b/>
                <w:bCs/>
                <w:color w:val="000000"/>
                <w:sz w:val="20"/>
                <w:szCs w:val="20"/>
              </w:rPr>
              <w:t>Exposure Level</w:t>
            </w:r>
          </w:p>
        </w:tc>
        <w:tc>
          <w:tcPr>
            <w:tcW w:w="1170" w:type="dxa"/>
            <w:gridSpan w:val="2"/>
            <w:tcBorders>
              <w:top w:val="nil"/>
              <w:left w:val="nil"/>
              <w:bottom w:val="nil"/>
              <w:right w:val="nil"/>
            </w:tcBorders>
            <w:shd w:val="clear" w:color="auto" w:fill="auto"/>
            <w:vAlign w:val="center"/>
            <w:hideMark/>
          </w:tcPr>
          <w:p w14:paraId="133306AD" w14:textId="77777777" w:rsidR="00497593" w:rsidRPr="00497593" w:rsidRDefault="00497593" w:rsidP="00497593">
            <w:pPr>
              <w:spacing w:after="0" w:line="240" w:lineRule="auto"/>
              <w:jc w:val="center"/>
              <w:rPr>
                <w:rFonts w:ascii="Calibri" w:eastAsia="Times New Roman" w:hAnsi="Calibri" w:cs="Times New Roman"/>
                <w:b/>
                <w:bCs/>
                <w:color w:val="000000"/>
                <w:sz w:val="20"/>
                <w:szCs w:val="20"/>
              </w:rPr>
            </w:pPr>
            <w:r w:rsidRPr="00497593">
              <w:rPr>
                <w:rFonts w:ascii="Calibri" w:eastAsia="Times New Roman" w:hAnsi="Calibri" w:cs="Times New Roman"/>
                <w:b/>
                <w:bCs/>
                <w:color w:val="000000"/>
                <w:sz w:val="20"/>
                <w:szCs w:val="20"/>
              </w:rPr>
              <w:t xml:space="preserve">SOC occupation </w:t>
            </w:r>
            <w:proofErr w:type="spellStart"/>
            <w:r w:rsidRPr="00497593">
              <w:rPr>
                <w:rFonts w:ascii="Calibri" w:eastAsia="Times New Roman" w:hAnsi="Calibri" w:cs="Times New Roman"/>
                <w:b/>
                <w:bCs/>
                <w:color w:val="000000"/>
                <w:sz w:val="20"/>
                <w:szCs w:val="20"/>
              </w:rPr>
              <w:t>titles</w:t>
            </w:r>
            <w:r w:rsidRPr="00497593">
              <w:rPr>
                <w:rFonts w:ascii="Calibri" w:eastAsia="Times New Roman" w:hAnsi="Calibri" w:cs="Times New Roman"/>
                <w:b/>
                <w:bCs/>
                <w:color w:val="000000"/>
                <w:sz w:val="20"/>
                <w:szCs w:val="20"/>
                <w:vertAlign w:val="superscript"/>
              </w:rPr>
              <w:t>a</w:t>
            </w:r>
            <w:proofErr w:type="spellEnd"/>
            <w:r w:rsidRPr="00497593">
              <w:rPr>
                <w:rFonts w:ascii="Calibri" w:eastAsia="Times New Roman" w:hAnsi="Calibri" w:cs="Times New Roman"/>
                <w:b/>
                <w:bCs/>
                <w:color w:val="000000"/>
                <w:sz w:val="20"/>
                <w:szCs w:val="20"/>
              </w:rPr>
              <w:br/>
              <w:t>(N)</w:t>
            </w:r>
          </w:p>
        </w:tc>
        <w:tc>
          <w:tcPr>
            <w:tcW w:w="1260" w:type="dxa"/>
            <w:gridSpan w:val="2"/>
            <w:tcBorders>
              <w:top w:val="nil"/>
              <w:left w:val="nil"/>
              <w:bottom w:val="nil"/>
              <w:right w:val="nil"/>
            </w:tcBorders>
            <w:shd w:val="clear" w:color="auto" w:fill="auto"/>
            <w:vAlign w:val="center"/>
            <w:hideMark/>
          </w:tcPr>
          <w:p w14:paraId="2793DDAF" w14:textId="1B4B9A78" w:rsidR="00497593" w:rsidRPr="00497593" w:rsidRDefault="00497593" w:rsidP="00497593">
            <w:pPr>
              <w:spacing w:after="0" w:line="240" w:lineRule="auto"/>
              <w:jc w:val="center"/>
              <w:rPr>
                <w:rFonts w:ascii="Calibri" w:eastAsia="Times New Roman" w:hAnsi="Calibri" w:cs="Times New Roman"/>
                <w:b/>
                <w:bCs/>
                <w:color w:val="000000"/>
                <w:sz w:val="20"/>
                <w:szCs w:val="20"/>
              </w:rPr>
            </w:pPr>
            <w:r w:rsidRPr="00497593">
              <w:rPr>
                <w:rFonts w:ascii="Calibri" w:eastAsia="Times New Roman" w:hAnsi="Calibri" w:cs="Times New Roman"/>
                <w:b/>
                <w:bCs/>
                <w:color w:val="000000"/>
                <w:sz w:val="20"/>
                <w:szCs w:val="20"/>
              </w:rPr>
              <w:t xml:space="preserve">SOC occupation </w:t>
            </w:r>
            <w:proofErr w:type="spellStart"/>
            <w:r w:rsidRPr="00497593">
              <w:rPr>
                <w:rFonts w:ascii="Calibri" w:eastAsia="Times New Roman" w:hAnsi="Calibri" w:cs="Times New Roman"/>
                <w:b/>
                <w:bCs/>
                <w:color w:val="000000"/>
                <w:sz w:val="20"/>
                <w:szCs w:val="20"/>
              </w:rPr>
              <w:t>titles</w:t>
            </w:r>
            <w:r w:rsidRPr="00497593">
              <w:rPr>
                <w:rFonts w:ascii="Calibri" w:eastAsia="Times New Roman" w:hAnsi="Calibri" w:cs="Times New Roman"/>
                <w:b/>
                <w:bCs/>
                <w:color w:val="000000"/>
                <w:sz w:val="20"/>
                <w:szCs w:val="20"/>
                <w:vertAlign w:val="superscript"/>
              </w:rPr>
              <w:t>a</w:t>
            </w:r>
            <w:proofErr w:type="spellEnd"/>
            <w:r w:rsidRPr="00497593">
              <w:rPr>
                <w:rFonts w:ascii="Calibri" w:eastAsia="Times New Roman" w:hAnsi="Calibri" w:cs="Times New Roman"/>
                <w:b/>
                <w:bCs/>
                <w:color w:val="000000"/>
                <w:sz w:val="20"/>
                <w:szCs w:val="20"/>
              </w:rPr>
              <w:br/>
              <w:t>(%)</w:t>
            </w:r>
          </w:p>
        </w:tc>
        <w:tc>
          <w:tcPr>
            <w:tcW w:w="1260" w:type="dxa"/>
            <w:gridSpan w:val="2"/>
            <w:tcBorders>
              <w:top w:val="nil"/>
              <w:left w:val="nil"/>
              <w:bottom w:val="nil"/>
              <w:right w:val="nil"/>
            </w:tcBorders>
            <w:shd w:val="clear" w:color="auto" w:fill="auto"/>
            <w:vAlign w:val="bottom"/>
            <w:hideMark/>
          </w:tcPr>
          <w:p w14:paraId="6EAC5D4F" w14:textId="77777777" w:rsidR="00497593" w:rsidRPr="00497593" w:rsidRDefault="00497593" w:rsidP="00497593">
            <w:pPr>
              <w:spacing w:after="0" w:line="240" w:lineRule="auto"/>
              <w:jc w:val="center"/>
              <w:rPr>
                <w:rFonts w:ascii="Calibri" w:eastAsia="Times New Roman" w:hAnsi="Calibri" w:cs="Times New Roman"/>
                <w:b/>
                <w:bCs/>
                <w:color w:val="000000"/>
                <w:sz w:val="20"/>
                <w:szCs w:val="20"/>
              </w:rPr>
            </w:pPr>
            <w:r w:rsidRPr="00497593">
              <w:rPr>
                <w:rFonts w:ascii="Calibri" w:eastAsia="Times New Roman" w:hAnsi="Calibri" w:cs="Times New Roman"/>
                <w:b/>
                <w:bCs/>
                <w:color w:val="000000"/>
                <w:sz w:val="20"/>
                <w:szCs w:val="20"/>
              </w:rPr>
              <w:t xml:space="preserve">U.S. workforce </w:t>
            </w:r>
            <w:r w:rsidRPr="00497593">
              <w:rPr>
                <w:rFonts w:ascii="Calibri" w:eastAsia="Times New Roman" w:hAnsi="Calibri" w:cs="Times New Roman"/>
                <w:b/>
                <w:bCs/>
                <w:color w:val="000000"/>
                <w:sz w:val="20"/>
                <w:szCs w:val="20"/>
              </w:rPr>
              <w:br/>
              <w:t>(N)</w:t>
            </w:r>
          </w:p>
        </w:tc>
        <w:tc>
          <w:tcPr>
            <w:tcW w:w="1120" w:type="dxa"/>
            <w:tcBorders>
              <w:top w:val="nil"/>
              <w:left w:val="nil"/>
              <w:bottom w:val="nil"/>
              <w:right w:val="nil"/>
            </w:tcBorders>
            <w:shd w:val="clear" w:color="auto" w:fill="auto"/>
            <w:vAlign w:val="bottom"/>
            <w:hideMark/>
          </w:tcPr>
          <w:p w14:paraId="65849EA0" w14:textId="77777777" w:rsidR="00497593" w:rsidRPr="00497593" w:rsidRDefault="00497593" w:rsidP="00497593">
            <w:pPr>
              <w:spacing w:after="0" w:line="240" w:lineRule="auto"/>
              <w:jc w:val="center"/>
              <w:rPr>
                <w:rFonts w:ascii="Calibri" w:eastAsia="Times New Roman" w:hAnsi="Calibri" w:cs="Times New Roman"/>
                <w:b/>
                <w:bCs/>
                <w:color w:val="000000"/>
                <w:sz w:val="20"/>
                <w:szCs w:val="20"/>
              </w:rPr>
            </w:pPr>
            <w:r w:rsidRPr="00497593">
              <w:rPr>
                <w:rFonts w:ascii="Calibri" w:eastAsia="Times New Roman" w:hAnsi="Calibri" w:cs="Times New Roman"/>
                <w:b/>
                <w:bCs/>
                <w:color w:val="000000"/>
                <w:sz w:val="20"/>
                <w:szCs w:val="20"/>
              </w:rPr>
              <w:t xml:space="preserve">U.S. workforce </w:t>
            </w:r>
            <w:r w:rsidRPr="00497593">
              <w:rPr>
                <w:rFonts w:ascii="Calibri" w:eastAsia="Times New Roman" w:hAnsi="Calibri" w:cs="Times New Roman"/>
                <w:b/>
                <w:bCs/>
                <w:color w:val="000000"/>
                <w:sz w:val="20"/>
                <w:szCs w:val="20"/>
              </w:rPr>
              <w:br/>
              <w:t>(%)</w:t>
            </w:r>
          </w:p>
        </w:tc>
      </w:tr>
      <w:tr w:rsidR="00497593" w:rsidRPr="00497593" w14:paraId="3C422B5B" w14:textId="77777777" w:rsidTr="00A2143C">
        <w:trPr>
          <w:trHeight w:val="334"/>
        </w:trPr>
        <w:tc>
          <w:tcPr>
            <w:tcW w:w="1890" w:type="dxa"/>
            <w:tcBorders>
              <w:top w:val="nil"/>
              <w:left w:val="nil"/>
              <w:bottom w:val="nil"/>
              <w:right w:val="nil"/>
            </w:tcBorders>
            <w:shd w:val="clear" w:color="000000" w:fill="FFF2CC"/>
            <w:noWrap/>
            <w:vAlign w:val="bottom"/>
            <w:hideMark/>
          </w:tcPr>
          <w:p w14:paraId="72B55BD8" w14:textId="77777777"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Public Facing Work</w:t>
            </w:r>
          </w:p>
        </w:tc>
        <w:tc>
          <w:tcPr>
            <w:tcW w:w="2340" w:type="dxa"/>
            <w:gridSpan w:val="2"/>
            <w:tcBorders>
              <w:top w:val="nil"/>
              <w:left w:val="nil"/>
              <w:bottom w:val="nil"/>
              <w:right w:val="nil"/>
            </w:tcBorders>
            <w:shd w:val="clear" w:color="auto" w:fill="auto"/>
            <w:noWrap/>
            <w:vAlign w:val="center"/>
            <w:hideMark/>
          </w:tcPr>
          <w:p w14:paraId="32915373" w14:textId="77777777"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2. Public facing</w:t>
            </w:r>
          </w:p>
        </w:tc>
        <w:tc>
          <w:tcPr>
            <w:tcW w:w="1170" w:type="dxa"/>
            <w:gridSpan w:val="2"/>
            <w:tcBorders>
              <w:top w:val="nil"/>
              <w:left w:val="nil"/>
              <w:bottom w:val="nil"/>
              <w:right w:val="nil"/>
            </w:tcBorders>
            <w:shd w:val="clear" w:color="auto" w:fill="auto"/>
            <w:noWrap/>
            <w:vAlign w:val="bottom"/>
            <w:hideMark/>
          </w:tcPr>
          <w:p w14:paraId="0C3B1E80"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198</w:t>
            </w:r>
          </w:p>
        </w:tc>
        <w:tc>
          <w:tcPr>
            <w:tcW w:w="1260" w:type="dxa"/>
            <w:gridSpan w:val="2"/>
            <w:tcBorders>
              <w:top w:val="nil"/>
              <w:left w:val="nil"/>
              <w:bottom w:val="nil"/>
              <w:right w:val="nil"/>
            </w:tcBorders>
            <w:shd w:val="clear" w:color="auto" w:fill="auto"/>
            <w:noWrap/>
            <w:vAlign w:val="bottom"/>
            <w:hideMark/>
          </w:tcPr>
          <w:p w14:paraId="530DBF0F"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28.4</w:t>
            </w:r>
          </w:p>
        </w:tc>
        <w:tc>
          <w:tcPr>
            <w:tcW w:w="1260" w:type="dxa"/>
            <w:gridSpan w:val="2"/>
            <w:tcBorders>
              <w:top w:val="nil"/>
              <w:left w:val="nil"/>
              <w:bottom w:val="nil"/>
              <w:right w:val="nil"/>
            </w:tcBorders>
            <w:shd w:val="clear" w:color="auto" w:fill="auto"/>
            <w:noWrap/>
            <w:vAlign w:val="bottom"/>
            <w:hideMark/>
          </w:tcPr>
          <w:p w14:paraId="516782E2"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48,949,790</w:t>
            </w:r>
          </w:p>
        </w:tc>
        <w:tc>
          <w:tcPr>
            <w:tcW w:w="1120" w:type="dxa"/>
            <w:tcBorders>
              <w:top w:val="nil"/>
              <w:left w:val="nil"/>
              <w:bottom w:val="nil"/>
              <w:right w:val="nil"/>
            </w:tcBorders>
            <w:shd w:val="clear" w:color="auto" w:fill="auto"/>
            <w:noWrap/>
            <w:vAlign w:val="bottom"/>
            <w:hideMark/>
          </w:tcPr>
          <w:p w14:paraId="0B14E92D"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37.0</w:t>
            </w:r>
          </w:p>
        </w:tc>
      </w:tr>
      <w:tr w:rsidR="00497593" w:rsidRPr="00497593" w14:paraId="3BAE3EA5" w14:textId="77777777" w:rsidTr="00A2143C">
        <w:trPr>
          <w:trHeight w:val="334"/>
        </w:trPr>
        <w:tc>
          <w:tcPr>
            <w:tcW w:w="1890" w:type="dxa"/>
            <w:tcBorders>
              <w:top w:val="nil"/>
              <w:left w:val="nil"/>
              <w:bottom w:val="nil"/>
              <w:right w:val="nil"/>
            </w:tcBorders>
            <w:shd w:val="clear" w:color="000000" w:fill="FFF2CC"/>
            <w:noWrap/>
            <w:vAlign w:val="bottom"/>
            <w:hideMark/>
          </w:tcPr>
          <w:p w14:paraId="51860AE3" w14:textId="77777777"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Public Facing Work</w:t>
            </w:r>
          </w:p>
        </w:tc>
        <w:tc>
          <w:tcPr>
            <w:tcW w:w="2340" w:type="dxa"/>
            <w:gridSpan w:val="2"/>
            <w:tcBorders>
              <w:top w:val="nil"/>
              <w:left w:val="nil"/>
              <w:bottom w:val="nil"/>
              <w:right w:val="nil"/>
            </w:tcBorders>
            <w:shd w:val="clear" w:color="auto" w:fill="auto"/>
            <w:noWrap/>
            <w:vAlign w:val="center"/>
            <w:hideMark/>
          </w:tcPr>
          <w:p w14:paraId="1E5C9596" w14:textId="3EEF325A"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 xml:space="preserve">1. Not public </w:t>
            </w:r>
            <w:proofErr w:type="spellStart"/>
            <w:r w:rsidRPr="00497593">
              <w:rPr>
                <w:rFonts w:ascii="Calibri" w:eastAsia="Times New Roman" w:hAnsi="Calibri" w:cs="Times New Roman"/>
                <w:color w:val="000000"/>
                <w:sz w:val="20"/>
                <w:szCs w:val="20"/>
              </w:rPr>
              <w:t>facing</w:t>
            </w:r>
            <w:r w:rsidRPr="00497593">
              <w:rPr>
                <w:rFonts w:ascii="Calibri" w:eastAsia="Times New Roman" w:hAnsi="Calibri" w:cs="Times New Roman"/>
                <w:color w:val="000000"/>
                <w:sz w:val="20"/>
                <w:szCs w:val="20"/>
                <w:vertAlign w:val="superscript"/>
              </w:rPr>
              <w:t>c</w:t>
            </w:r>
            <w:proofErr w:type="spellEnd"/>
            <w:r w:rsidRPr="00497593">
              <w:rPr>
                <w:rFonts w:ascii="Calibri" w:eastAsia="Times New Roman" w:hAnsi="Calibri" w:cs="Times New Roman"/>
                <w:color w:val="000000"/>
                <w:sz w:val="20"/>
                <w:szCs w:val="20"/>
              </w:rPr>
              <w:t xml:space="preserve"> </w:t>
            </w:r>
          </w:p>
        </w:tc>
        <w:tc>
          <w:tcPr>
            <w:tcW w:w="1170" w:type="dxa"/>
            <w:gridSpan w:val="2"/>
            <w:tcBorders>
              <w:top w:val="nil"/>
              <w:left w:val="nil"/>
              <w:bottom w:val="nil"/>
              <w:right w:val="nil"/>
            </w:tcBorders>
            <w:shd w:val="clear" w:color="auto" w:fill="auto"/>
            <w:noWrap/>
            <w:vAlign w:val="bottom"/>
            <w:hideMark/>
          </w:tcPr>
          <w:p w14:paraId="60E35D47"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498</w:t>
            </w:r>
          </w:p>
        </w:tc>
        <w:tc>
          <w:tcPr>
            <w:tcW w:w="1260" w:type="dxa"/>
            <w:gridSpan w:val="2"/>
            <w:tcBorders>
              <w:top w:val="nil"/>
              <w:left w:val="nil"/>
              <w:bottom w:val="nil"/>
              <w:right w:val="nil"/>
            </w:tcBorders>
            <w:shd w:val="clear" w:color="auto" w:fill="auto"/>
            <w:noWrap/>
            <w:vAlign w:val="bottom"/>
            <w:hideMark/>
          </w:tcPr>
          <w:p w14:paraId="0D7E5911"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71.6</w:t>
            </w:r>
          </w:p>
        </w:tc>
        <w:tc>
          <w:tcPr>
            <w:tcW w:w="1260" w:type="dxa"/>
            <w:gridSpan w:val="2"/>
            <w:tcBorders>
              <w:top w:val="nil"/>
              <w:left w:val="nil"/>
              <w:bottom w:val="nil"/>
              <w:right w:val="nil"/>
            </w:tcBorders>
            <w:shd w:val="clear" w:color="auto" w:fill="auto"/>
            <w:noWrap/>
            <w:vAlign w:val="bottom"/>
            <w:hideMark/>
          </w:tcPr>
          <w:p w14:paraId="432BA6B6"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83,374,806</w:t>
            </w:r>
          </w:p>
        </w:tc>
        <w:tc>
          <w:tcPr>
            <w:tcW w:w="1120" w:type="dxa"/>
            <w:tcBorders>
              <w:top w:val="nil"/>
              <w:left w:val="nil"/>
              <w:bottom w:val="nil"/>
              <w:right w:val="nil"/>
            </w:tcBorders>
            <w:shd w:val="clear" w:color="auto" w:fill="auto"/>
            <w:noWrap/>
            <w:vAlign w:val="bottom"/>
            <w:hideMark/>
          </w:tcPr>
          <w:p w14:paraId="7CA75D2B"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63.0</w:t>
            </w:r>
          </w:p>
        </w:tc>
      </w:tr>
      <w:tr w:rsidR="00497593" w:rsidRPr="00497593" w14:paraId="259D8967" w14:textId="77777777" w:rsidTr="00A2143C">
        <w:trPr>
          <w:trHeight w:val="334"/>
        </w:trPr>
        <w:tc>
          <w:tcPr>
            <w:tcW w:w="1890" w:type="dxa"/>
            <w:tcBorders>
              <w:top w:val="nil"/>
              <w:left w:val="nil"/>
              <w:bottom w:val="nil"/>
              <w:right w:val="nil"/>
            </w:tcBorders>
            <w:shd w:val="clear" w:color="000000" w:fill="FFF2CC"/>
            <w:noWrap/>
            <w:vAlign w:val="bottom"/>
            <w:hideMark/>
          </w:tcPr>
          <w:p w14:paraId="26A61BE1" w14:textId="77777777"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Public Facing Work</w:t>
            </w:r>
          </w:p>
        </w:tc>
        <w:tc>
          <w:tcPr>
            <w:tcW w:w="2340" w:type="dxa"/>
            <w:gridSpan w:val="2"/>
            <w:tcBorders>
              <w:top w:val="nil"/>
              <w:left w:val="nil"/>
              <w:bottom w:val="nil"/>
              <w:right w:val="nil"/>
            </w:tcBorders>
            <w:shd w:val="clear" w:color="auto" w:fill="auto"/>
            <w:noWrap/>
            <w:vAlign w:val="center"/>
            <w:hideMark/>
          </w:tcPr>
          <w:p w14:paraId="4D885BB5" w14:textId="77777777"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TOTAL</w:t>
            </w:r>
          </w:p>
        </w:tc>
        <w:tc>
          <w:tcPr>
            <w:tcW w:w="1170" w:type="dxa"/>
            <w:gridSpan w:val="2"/>
            <w:tcBorders>
              <w:top w:val="nil"/>
              <w:left w:val="nil"/>
              <w:bottom w:val="nil"/>
              <w:right w:val="nil"/>
            </w:tcBorders>
            <w:shd w:val="clear" w:color="auto" w:fill="auto"/>
            <w:noWrap/>
            <w:vAlign w:val="bottom"/>
            <w:hideMark/>
          </w:tcPr>
          <w:p w14:paraId="033307D9"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696</w:t>
            </w:r>
          </w:p>
        </w:tc>
        <w:tc>
          <w:tcPr>
            <w:tcW w:w="1260" w:type="dxa"/>
            <w:gridSpan w:val="2"/>
            <w:tcBorders>
              <w:top w:val="nil"/>
              <w:left w:val="nil"/>
              <w:bottom w:val="nil"/>
              <w:right w:val="nil"/>
            </w:tcBorders>
            <w:shd w:val="clear" w:color="auto" w:fill="auto"/>
            <w:noWrap/>
            <w:vAlign w:val="bottom"/>
            <w:hideMark/>
          </w:tcPr>
          <w:p w14:paraId="57C0C22F"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100.0</w:t>
            </w:r>
          </w:p>
        </w:tc>
        <w:tc>
          <w:tcPr>
            <w:tcW w:w="1260" w:type="dxa"/>
            <w:gridSpan w:val="2"/>
            <w:tcBorders>
              <w:top w:val="nil"/>
              <w:left w:val="nil"/>
              <w:bottom w:val="nil"/>
              <w:right w:val="nil"/>
            </w:tcBorders>
            <w:shd w:val="clear" w:color="auto" w:fill="auto"/>
            <w:noWrap/>
            <w:vAlign w:val="bottom"/>
            <w:hideMark/>
          </w:tcPr>
          <w:p w14:paraId="18E66151"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132,324,596</w:t>
            </w:r>
          </w:p>
        </w:tc>
        <w:tc>
          <w:tcPr>
            <w:tcW w:w="1120" w:type="dxa"/>
            <w:tcBorders>
              <w:top w:val="nil"/>
              <w:left w:val="nil"/>
              <w:bottom w:val="nil"/>
              <w:right w:val="nil"/>
            </w:tcBorders>
            <w:shd w:val="clear" w:color="auto" w:fill="auto"/>
            <w:noWrap/>
            <w:vAlign w:val="bottom"/>
            <w:hideMark/>
          </w:tcPr>
          <w:p w14:paraId="59301B8B"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100.0</w:t>
            </w:r>
          </w:p>
        </w:tc>
      </w:tr>
      <w:tr w:rsidR="00497593" w:rsidRPr="00497593" w14:paraId="2F64C015" w14:textId="77777777" w:rsidTr="00A2143C">
        <w:trPr>
          <w:trHeight w:val="334"/>
        </w:trPr>
        <w:tc>
          <w:tcPr>
            <w:tcW w:w="1890" w:type="dxa"/>
            <w:tcBorders>
              <w:top w:val="nil"/>
              <w:left w:val="nil"/>
              <w:bottom w:val="nil"/>
              <w:right w:val="nil"/>
            </w:tcBorders>
            <w:shd w:val="clear" w:color="000000" w:fill="DDEBF7"/>
            <w:noWrap/>
            <w:vAlign w:val="bottom"/>
            <w:hideMark/>
          </w:tcPr>
          <w:p w14:paraId="27ACE918" w14:textId="77777777"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Working Indoors</w:t>
            </w:r>
          </w:p>
        </w:tc>
        <w:tc>
          <w:tcPr>
            <w:tcW w:w="2340" w:type="dxa"/>
            <w:gridSpan w:val="2"/>
            <w:tcBorders>
              <w:top w:val="nil"/>
              <w:left w:val="nil"/>
              <w:bottom w:val="nil"/>
              <w:right w:val="nil"/>
            </w:tcBorders>
            <w:shd w:val="clear" w:color="auto" w:fill="auto"/>
            <w:noWrap/>
            <w:vAlign w:val="bottom"/>
            <w:hideMark/>
          </w:tcPr>
          <w:p w14:paraId="2F770BCC" w14:textId="77777777"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4. Primarily indoors</w:t>
            </w:r>
          </w:p>
        </w:tc>
        <w:tc>
          <w:tcPr>
            <w:tcW w:w="1170" w:type="dxa"/>
            <w:gridSpan w:val="2"/>
            <w:tcBorders>
              <w:top w:val="nil"/>
              <w:left w:val="nil"/>
              <w:bottom w:val="nil"/>
              <w:right w:val="nil"/>
            </w:tcBorders>
            <w:shd w:val="clear" w:color="auto" w:fill="auto"/>
            <w:noWrap/>
            <w:vAlign w:val="bottom"/>
            <w:hideMark/>
          </w:tcPr>
          <w:p w14:paraId="050C4EEE"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484</w:t>
            </w:r>
          </w:p>
        </w:tc>
        <w:tc>
          <w:tcPr>
            <w:tcW w:w="1260" w:type="dxa"/>
            <w:gridSpan w:val="2"/>
            <w:tcBorders>
              <w:top w:val="nil"/>
              <w:left w:val="nil"/>
              <w:bottom w:val="nil"/>
              <w:right w:val="nil"/>
            </w:tcBorders>
            <w:shd w:val="clear" w:color="auto" w:fill="auto"/>
            <w:noWrap/>
            <w:vAlign w:val="bottom"/>
            <w:hideMark/>
          </w:tcPr>
          <w:p w14:paraId="443CAE51"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69.4</w:t>
            </w:r>
          </w:p>
        </w:tc>
        <w:tc>
          <w:tcPr>
            <w:tcW w:w="1260" w:type="dxa"/>
            <w:gridSpan w:val="2"/>
            <w:tcBorders>
              <w:top w:val="nil"/>
              <w:left w:val="nil"/>
              <w:bottom w:val="nil"/>
              <w:right w:val="nil"/>
            </w:tcBorders>
            <w:shd w:val="clear" w:color="auto" w:fill="auto"/>
            <w:noWrap/>
            <w:vAlign w:val="bottom"/>
            <w:hideMark/>
          </w:tcPr>
          <w:p w14:paraId="66F8398F"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104,799,652</w:t>
            </w:r>
          </w:p>
        </w:tc>
        <w:tc>
          <w:tcPr>
            <w:tcW w:w="1120" w:type="dxa"/>
            <w:tcBorders>
              <w:top w:val="nil"/>
              <w:left w:val="nil"/>
              <w:bottom w:val="nil"/>
              <w:right w:val="nil"/>
            </w:tcBorders>
            <w:shd w:val="clear" w:color="auto" w:fill="auto"/>
            <w:noWrap/>
            <w:vAlign w:val="bottom"/>
            <w:hideMark/>
          </w:tcPr>
          <w:p w14:paraId="5BC4FE83"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79.2</w:t>
            </w:r>
          </w:p>
        </w:tc>
      </w:tr>
      <w:tr w:rsidR="00497593" w:rsidRPr="00497593" w14:paraId="62CAD4D0" w14:textId="77777777" w:rsidTr="00A2143C">
        <w:trPr>
          <w:trHeight w:val="334"/>
        </w:trPr>
        <w:tc>
          <w:tcPr>
            <w:tcW w:w="1890" w:type="dxa"/>
            <w:tcBorders>
              <w:top w:val="nil"/>
              <w:left w:val="nil"/>
              <w:bottom w:val="nil"/>
              <w:right w:val="nil"/>
            </w:tcBorders>
            <w:shd w:val="clear" w:color="000000" w:fill="DDEBF7"/>
            <w:noWrap/>
            <w:vAlign w:val="bottom"/>
            <w:hideMark/>
          </w:tcPr>
          <w:p w14:paraId="4729ACF6" w14:textId="77777777"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Working Indoors</w:t>
            </w:r>
          </w:p>
        </w:tc>
        <w:tc>
          <w:tcPr>
            <w:tcW w:w="2340" w:type="dxa"/>
            <w:gridSpan w:val="2"/>
            <w:tcBorders>
              <w:top w:val="nil"/>
              <w:left w:val="nil"/>
              <w:bottom w:val="nil"/>
              <w:right w:val="nil"/>
            </w:tcBorders>
            <w:shd w:val="clear" w:color="auto" w:fill="auto"/>
            <w:noWrap/>
            <w:vAlign w:val="bottom"/>
            <w:hideMark/>
          </w:tcPr>
          <w:p w14:paraId="24DD3036" w14:textId="796B75BE"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3.</w:t>
            </w:r>
            <w:r w:rsidR="007D0ABE">
              <w:rPr>
                <w:rFonts w:ascii="Calibri" w:eastAsia="Times New Roman" w:hAnsi="Calibri" w:cs="Times New Roman"/>
                <w:color w:val="000000"/>
                <w:sz w:val="20"/>
                <w:szCs w:val="20"/>
              </w:rPr>
              <w:t xml:space="preserve"> </w:t>
            </w:r>
            <w:r w:rsidRPr="00497593">
              <w:rPr>
                <w:rFonts w:ascii="Calibri" w:eastAsia="Times New Roman" w:hAnsi="Calibri" w:cs="Times New Roman"/>
                <w:color w:val="000000"/>
                <w:sz w:val="20"/>
                <w:szCs w:val="20"/>
              </w:rPr>
              <w:t>Mixed - often indoors</w:t>
            </w:r>
          </w:p>
        </w:tc>
        <w:tc>
          <w:tcPr>
            <w:tcW w:w="1170" w:type="dxa"/>
            <w:gridSpan w:val="2"/>
            <w:tcBorders>
              <w:top w:val="nil"/>
              <w:left w:val="nil"/>
              <w:bottom w:val="nil"/>
              <w:right w:val="nil"/>
            </w:tcBorders>
            <w:shd w:val="clear" w:color="auto" w:fill="auto"/>
            <w:noWrap/>
            <w:vAlign w:val="bottom"/>
            <w:hideMark/>
          </w:tcPr>
          <w:p w14:paraId="548F4F19"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95</w:t>
            </w:r>
          </w:p>
        </w:tc>
        <w:tc>
          <w:tcPr>
            <w:tcW w:w="1260" w:type="dxa"/>
            <w:gridSpan w:val="2"/>
            <w:tcBorders>
              <w:top w:val="nil"/>
              <w:left w:val="nil"/>
              <w:bottom w:val="nil"/>
              <w:right w:val="nil"/>
            </w:tcBorders>
            <w:shd w:val="clear" w:color="auto" w:fill="auto"/>
            <w:noWrap/>
            <w:vAlign w:val="bottom"/>
            <w:hideMark/>
          </w:tcPr>
          <w:p w14:paraId="18DA56DD"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13.6</w:t>
            </w:r>
          </w:p>
        </w:tc>
        <w:tc>
          <w:tcPr>
            <w:tcW w:w="1260" w:type="dxa"/>
            <w:gridSpan w:val="2"/>
            <w:tcBorders>
              <w:top w:val="nil"/>
              <w:left w:val="nil"/>
              <w:bottom w:val="nil"/>
              <w:right w:val="nil"/>
            </w:tcBorders>
            <w:shd w:val="clear" w:color="auto" w:fill="auto"/>
            <w:noWrap/>
            <w:vAlign w:val="bottom"/>
            <w:hideMark/>
          </w:tcPr>
          <w:p w14:paraId="0B431B87"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14,077,818</w:t>
            </w:r>
          </w:p>
        </w:tc>
        <w:tc>
          <w:tcPr>
            <w:tcW w:w="1120" w:type="dxa"/>
            <w:tcBorders>
              <w:top w:val="nil"/>
              <w:left w:val="nil"/>
              <w:bottom w:val="nil"/>
              <w:right w:val="nil"/>
            </w:tcBorders>
            <w:shd w:val="clear" w:color="auto" w:fill="auto"/>
            <w:noWrap/>
            <w:vAlign w:val="bottom"/>
            <w:hideMark/>
          </w:tcPr>
          <w:p w14:paraId="2883C936"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10.6</w:t>
            </w:r>
          </w:p>
        </w:tc>
      </w:tr>
      <w:tr w:rsidR="00497593" w:rsidRPr="00497593" w14:paraId="6AF285BB" w14:textId="77777777" w:rsidTr="00A2143C">
        <w:trPr>
          <w:trHeight w:val="334"/>
        </w:trPr>
        <w:tc>
          <w:tcPr>
            <w:tcW w:w="1890" w:type="dxa"/>
            <w:tcBorders>
              <w:top w:val="nil"/>
              <w:left w:val="nil"/>
              <w:bottom w:val="nil"/>
              <w:right w:val="nil"/>
            </w:tcBorders>
            <w:shd w:val="clear" w:color="000000" w:fill="DDEBF7"/>
            <w:noWrap/>
            <w:vAlign w:val="bottom"/>
            <w:hideMark/>
          </w:tcPr>
          <w:p w14:paraId="1A53123F" w14:textId="77777777"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Working Indoors</w:t>
            </w:r>
          </w:p>
        </w:tc>
        <w:tc>
          <w:tcPr>
            <w:tcW w:w="2340" w:type="dxa"/>
            <w:gridSpan w:val="2"/>
            <w:tcBorders>
              <w:top w:val="nil"/>
              <w:left w:val="nil"/>
              <w:bottom w:val="nil"/>
              <w:right w:val="nil"/>
            </w:tcBorders>
            <w:shd w:val="clear" w:color="auto" w:fill="auto"/>
            <w:noWrap/>
            <w:vAlign w:val="bottom"/>
            <w:hideMark/>
          </w:tcPr>
          <w:p w14:paraId="7FEFB6D3" w14:textId="2A90EC11"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2.</w:t>
            </w:r>
            <w:r w:rsidR="007D0ABE">
              <w:rPr>
                <w:rFonts w:ascii="Calibri" w:eastAsia="Times New Roman" w:hAnsi="Calibri" w:cs="Times New Roman"/>
                <w:color w:val="000000"/>
                <w:sz w:val="20"/>
                <w:szCs w:val="20"/>
              </w:rPr>
              <w:t xml:space="preserve"> </w:t>
            </w:r>
            <w:r w:rsidRPr="00497593">
              <w:rPr>
                <w:rFonts w:ascii="Calibri" w:eastAsia="Times New Roman" w:hAnsi="Calibri" w:cs="Times New Roman"/>
                <w:color w:val="000000"/>
                <w:sz w:val="20"/>
                <w:szCs w:val="20"/>
              </w:rPr>
              <w:t>Mixed - often outdoors</w:t>
            </w:r>
          </w:p>
        </w:tc>
        <w:tc>
          <w:tcPr>
            <w:tcW w:w="1170" w:type="dxa"/>
            <w:gridSpan w:val="2"/>
            <w:tcBorders>
              <w:top w:val="nil"/>
              <w:left w:val="nil"/>
              <w:bottom w:val="nil"/>
              <w:right w:val="nil"/>
            </w:tcBorders>
            <w:shd w:val="clear" w:color="auto" w:fill="auto"/>
            <w:noWrap/>
            <w:vAlign w:val="bottom"/>
            <w:hideMark/>
          </w:tcPr>
          <w:p w14:paraId="2A45C8D8"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75</w:t>
            </w:r>
          </w:p>
        </w:tc>
        <w:tc>
          <w:tcPr>
            <w:tcW w:w="1260" w:type="dxa"/>
            <w:gridSpan w:val="2"/>
            <w:tcBorders>
              <w:top w:val="nil"/>
              <w:left w:val="nil"/>
              <w:bottom w:val="nil"/>
              <w:right w:val="nil"/>
            </w:tcBorders>
            <w:shd w:val="clear" w:color="auto" w:fill="auto"/>
            <w:noWrap/>
            <w:vAlign w:val="bottom"/>
            <w:hideMark/>
          </w:tcPr>
          <w:p w14:paraId="5236DA9D"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10.9</w:t>
            </w:r>
          </w:p>
        </w:tc>
        <w:tc>
          <w:tcPr>
            <w:tcW w:w="1260" w:type="dxa"/>
            <w:gridSpan w:val="2"/>
            <w:tcBorders>
              <w:top w:val="nil"/>
              <w:left w:val="nil"/>
              <w:bottom w:val="nil"/>
              <w:right w:val="nil"/>
            </w:tcBorders>
            <w:shd w:val="clear" w:color="auto" w:fill="auto"/>
            <w:noWrap/>
            <w:vAlign w:val="bottom"/>
            <w:hideMark/>
          </w:tcPr>
          <w:p w14:paraId="1D6D9234"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10,950,600</w:t>
            </w:r>
          </w:p>
        </w:tc>
        <w:tc>
          <w:tcPr>
            <w:tcW w:w="1120" w:type="dxa"/>
            <w:tcBorders>
              <w:top w:val="nil"/>
              <w:left w:val="nil"/>
              <w:bottom w:val="nil"/>
              <w:right w:val="nil"/>
            </w:tcBorders>
            <w:shd w:val="clear" w:color="auto" w:fill="auto"/>
            <w:noWrap/>
            <w:vAlign w:val="bottom"/>
            <w:hideMark/>
          </w:tcPr>
          <w:p w14:paraId="0F8E8E37"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8.3</w:t>
            </w:r>
          </w:p>
        </w:tc>
      </w:tr>
      <w:tr w:rsidR="00497593" w:rsidRPr="00497593" w14:paraId="7FC3D5EA" w14:textId="77777777" w:rsidTr="00A2143C">
        <w:trPr>
          <w:trHeight w:val="334"/>
        </w:trPr>
        <w:tc>
          <w:tcPr>
            <w:tcW w:w="1890" w:type="dxa"/>
            <w:tcBorders>
              <w:top w:val="nil"/>
              <w:left w:val="nil"/>
              <w:bottom w:val="nil"/>
              <w:right w:val="nil"/>
            </w:tcBorders>
            <w:shd w:val="clear" w:color="000000" w:fill="DDEBF7"/>
            <w:noWrap/>
            <w:vAlign w:val="bottom"/>
            <w:hideMark/>
          </w:tcPr>
          <w:p w14:paraId="75014826" w14:textId="77777777"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Working Indoors</w:t>
            </w:r>
          </w:p>
        </w:tc>
        <w:tc>
          <w:tcPr>
            <w:tcW w:w="2340" w:type="dxa"/>
            <w:gridSpan w:val="2"/>
            <w:tcBorders>
              <w:top w:val="nil"/>
              <w:left w:val="nil"/>
              <w:bottom w:val="nil"/>
              <w:right w:val="nil"/>
            </w:tcBorders>
            <w:shd w:val="clear" w:color="auto" w:fill="auto"/>
            <w:noWrap/>
            <w:vAlign w:val="bottom"/>
            <w:hideMark/>
          </w:tcPr>
          <w:p w14:paraId="4D39C554" w14:textId="14BD0D56"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w:t>
            </w:r>
            <w:r w:rsidR="007D0ABE">
              <w:rPr>
                <w:rFonts w:ascii="Calibri" w:eastAsia="Times New Roman" w:hAnsi="Calibri" w:cs="Times New Roman"/>
                <w:color w:val="000000"/>
                <w:sz w:val="20"/>
                <w:szCs w:val="20"/>
              </w:rPr>
              <w:t xml:space="preserve"> </w:t>
            </w:r>
            <w:r w:rsidRPr="00497593">
              <w:rPr>
                <w:rFonts w:ascii="Calibri" w:eastAsia="Times New Roman" w:hAnsi="Calibri" w:cs="Times New Roman"/>
                <w:color w:val="000000"/>
                <w:sz w:val="20"/>
                <w:szCs w:val="20"/>
              </w:rPr>
              <w:t>Primarily outdoors</w:t>
            </w:r>
          </w:p>
        </w:tc>
        <w:tc>
          <w:tcPr>
            <w:tcW w:w="1170" w:type="dxa"/>
            <w:gridSpan w:val="2"/>
            <w:tcBorders>
              <w:top w:val="nil"/>
              <w:left w:val="nil"/>
              <w:bottom w:val="nil"/>
              <w:right w:val="nil"/>
            </w:tcBorders>
            <w:shd w:val="clear" w:color="auto" w:fill="auto"/>
            <w:noWrap/>
            <w:vAlign w:val="bottom"/>
            <w:hideMark/>
          </w:tcPr>
          <w:p w14:paraId="3C53F42B"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42</w:t>
            </w:r>
          </w:p>
        </w:tc>
        <w:tc>
          <w:tcPr>
            <w:tcW w:w="1260" w:type="dxa"/>
            <w:gridSpan w:val="2"/>
            <w:tcBorders>
              <w:top w:val="nil"/>
              <w:left w:val="nil"/>
              <w:bottom w:val="nil"/>
              <w:right w:val="nil"/>
            </w:tcBorders>
            <w:shd w:val="clear" w:color="auto" w:fill="auto"/>
            <w:noWrap/>
            <w:vAlign w:val="bottom"/>
            <w:hideMark/>
          </w:tcPr>
          <w:p w14:paraId="7BCAE87D"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6.0</w:t>
            </w:r>
          </w:p>
        </w:tc>
        <w:tc>
          <w:tcPr>
            <w:tcW w:w="1260" w:type="dxa"/>
            <w:gridSpan w:val="2"/>
            <w:tcBorders>
              <w:top w:val="nil"/>
              <w:left w:val="nil"/>
              <w:bottom w:val="nil"/>
              <w:right w:val="nil"/>
            </w:tcBorders>
            <w:shd w:val="clear" w:color="auto" w:fill="auto"/>
            <w:noWrap/>
            <w:vAlign w:val="bottom"/>
            <w:hideMark/>
          </w:tcPr>
          <w:p w14:paraId="3245FF91"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2,496,527</w:t>
            </w:r>
          </w:p>
        </w:tc>
        <w:tc>
          <w:tcPr>
            <w:tcW w:w="1120" w:type="dxa"/>
            <w:tcBorders>
              <w:top w:val="nil"/>
              <w:left w:val="nil"/>
              <w:bottom w:val="nil"/>
              <w:right w:val="nil"/>
            </w:tcBorders>
            <w:shd w:val="clear" w:color="auto" w:fill="auto"/>
            <w:noWrap/>
            <w:vAlign w:val="bottom"/>
            <w:hideMark/>
          </w:tcPr>
          <w:p w14:paraId="426A36C4"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1.9</w:t>
            </w:r>
          </w:p>
        </w:tc>
      </w:tr>
      <w:tr w:rsidR="00497593" w:rsidRPr="00497593" w14:paraId="75F0F7C5" w14:textId="77777777" w:rsidTr="00A2143C">
        <w:trPr>
          <w:trHeight w:val="334"/>
        </w:trPr>
        <w:tc>
          <w:tcPr>
            <w:tcW w:w="1890" w:type="dxa"/>
            <w:tcBorders>
              <w:top w:val="nil"/>
              <w:left w:val="nil"/>
              <w:bottom w:val="nil"/>
              <w:right w:val="nil"/>
            </w:tcBorders>
            <w:shd w:val="clear" w:color="000000" w:fill="DDEBF7"/>
            <w:noWrap/>
            <w:vAlign w:val="bottom"/>
            <w:hideMark/>
          </w:tcPr>
          <w:p w14:paraId="16F2749C" w14:textId="77777777"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Working Indoors</w:t>
            </w:r>
          </w:p>
        </w:tc>
        <w:tc>
          <w:tcPr>
            <w:tcW w:w="2340" w:type="dxa"/>
            <w:gridSpan w:val="2"/>
            <w:tcBorders>
              <w:top w:val="nil"/>
              <w:left w:val="nil"/>
              <w:bottom w:val="nil"/>
              <w:right w:val="nil"/>
            </w:tcBorders>
            <w:shd w:val="clear" w:color="auto" w:fill="auto"/>
            <w:noWrap/>
            <w:vAlign w:val="bottom"/>
            <w:hideMark/>
          </w:tcPr>
          <w:p w14:paraId="6E704F39" w14:textId="77777777"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  TOTAL</w:t>
            </w:r>
          </w:p>
        </w:tc>
        <w:tc>
          <w:tcPr>
            <w:tcW w:w="1170" w:type="dxa"/>
            <w:gridSpan w:val="2"/>
            <w:tcBorders>
              <w:top w:val="nil"/>
              <w:left w:val="nil"/>
              <w:bottom w:val="nil"/>
              <w:right w:val="nil"/>
            </w:tcBorders>
            <w:shd w:val="clear" w:color="auto" w:fill="auto"/>
            <w:noWrap/>
            <w:vAlign w:val="bottom"/>
            <w:hideMark/>
          </w:tcPr>
          <w:p w14:paraId="659C33A4"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696</w:t>
            </w:r>
          </w:p>
        </w:tc>
        <w:tc>
          <w:tcPr>
            <w:tcW w:w="1260" w:type="dxa"/>
            <w:gridSpan w:val="2"/>
            <w:tcBorders>
              <w:top w:val="nil"/>
              <w:left w:val="nil"/>
              <w:bottom w:val="nil"/>
              <w:right w:val="nil"/>
            </w:tcBorders>
            <w:shd w:val="clear" w:color="auto" w:fill="auto"/>
            <w:noWrap/>
            <w:vAlign w:val="bottom"/>
            <w:hideMark/>
          </w:tcPr>
          <w:p w14:paraId="3476172F"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100.0</w:t>
            </w:r>
          </w:p>
        </w:tc>
        <w:tc>
          <w:tcPr>
            <w:tcW w:w="1260" w:type="dxa"/>
            <w:gridSpan w:val="2"/>
            <w:tcBorders>
              <w:top w:val="nil"/>
              <w:left w:val="nil"/>
              <w:bottom w:val="nil"/>
              <w:right w:val="nil"/>
            </w:tcBorders>
            <w:shd w:val="clear" w:color="auto" w:fill="auto"/>
            <w:noWrap/>
            <w:vAlign w:val="bottom"/>
            <w:hideMark/>
          </w:tcPr>
          <w:p w14:paraId="31644289"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132,324,596</w:t>
            </w:r>
          </w:p>
        </w:tc>
        <w:tc>
          <w:tcPr>
            <w:tcW w:w="1120" w:type="dxa"/>
            <w:tcBorders>
              <w:top w:val="nil"/>
              <w:left w:val="nil"/>
              <w:bottom w:val="nil"/>
              <w:right w:val="nil"/>
            </w:tcBorders>
            <w:shd w:val="clear" w:color="auto" w:fill="auto"/>
            <w:noWrap/>
            <w:vAlign w:val="bottom"/>
            <w:hideMark/>
          </w:tcPr>
          <w:p w14:paraId="6E596127"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100.0</w:t>
            </w:r>
          </w:p>
        </w:tc>
      </w:tr>
      <w:tr w:rsidR="00497593" w:rsidRPr="00497593" w14:paraId="384C1B5F" w14:textId="77777777" w:rsidTr="00A2143C">
        <w:trPr>
          <w:trHeight w:val="334"/>
        </w:trPr>
        <w:tc>
          <w:tcPr>
            <w:tcW w:w="1890" w:type="dxa"/>
            <w:tcBorders>
              <w:top w:val="nil"/>
              <w:left w:val="nil"/>
              <w:bottom w:val="nil"/>
              <w:right w:val="nil"/>
            </w:tcBorders>
            <w:shd w:val="clear" w:color="000000" w:fill="E2EFDA"/>
            <w:noWrap/>
            <w:vAlign w:val="bottom"/>
            <w:hideMark/>
          </w:tcPr>
          <w:p w14:paraId="385E4245" w14:textId="7E85341A"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 xml:space="preserve">Close </w:t>
            </w:r>
            <w:r w:rsidR="007D0ABE">
              <w:rPr>
                <w:rFonts w:ascii="Calibri" w:eastAsia="Times New Roman" w:hAnsi="Calibri" w:cs="Times New Roman"/>
                <w:color w:val="000000"/>
                <w:sz w:val="20"/>
                <w:szCs w:val="20"/>
              </w:rPr>
              <w:t>Proximity</w:t>
            </w:r>
            <w:r w:rsidRPr="00497593">
              <w:rPr>
                <w:rFonts w:ascii="Calibri" w:eastAsia="Times New Roman" w:hAnsi="Calibri" w:cs="Times New Roman"/>
                <w:color w:val="000000"/>
                <w:sz w:val="20"/>
                <w:szCs w:val="20"/>
              </w:rPr>
              <w:t xml:space="preserve"> 1</w:t>
            </w:r>
            <w:r w:rsidRPr="00497593">
              <w:rPr>
                <w:rFonts w:ascii="Calibri" w:eastAsia="Times New Roman" w:hAnsi="Calibri" w:cs="Times New Roman"/>
                <w:b/>
                <w:bCs/>
                <w:color w:val="000000"/>
                <w:sz w:val="20"/>
                <w:szCs w:val="20"/>
                <w:vertAlign w:val="superscript"/>
              </w:rPr>
              <w:t xml:space="preserve">d </w:t>
            </w:r>
          </w:p>
        </w:tc>
        <w:tc>
          <w:tcPr>
            <w:tcW w:w="2340" w:type="dxa"/>
            <w:gridSpan w:val="2"/>
            <w:tcBorders>
              <w:top w:val="nil"/>
              <w:left w:val="nil"/>
              <w:bottom w:val="nil"/>
              <w:right w:val="nil"/>
            </w:tcBorders>
            <w:shd w:val="clear" w:color="auto" w:fill="auto"/>
            <w:noWrap/>
            <w:vAlign w:val="center"/>
            <w:hideMark/>
          </w:tcPr>
          <w:p w14:paraId="132114BB" w14:textId="77777777"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 xml:space="preserve">4. Very close </w:t>
            </w:r>
          </w:p>
        </w:tc>
        <w:tc>
          <w:tcPr>
            <w:tcW w:w="1170" w:type="dxa"/>
            <w:gridSpan w:val="2"/>
            <w:tcBorders>
              <w:top w:val="nil"/>
              <w:left w:val="nil"/>
              <w:bottom w:val="nil"/>
              <w:right w:val="nil"/>
            </w:tcBorders>
            <w:shd w:val="clear" w:color="auto" w:fill="auto"/>
            <w:noWrap/>
            <w:vAlign w:val="bottom"/>
            <w:hideMark/>
          </w:tcPr>
          <w:p w14:paraId="7724FE3B"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186</w:t>
            </w:r>
          </w:p>
        </w:tc>
        <w:tc>
          <w:tcPr>
            <w:tcW w:w="1260" w:type="dxa"/>
            <w:gridSpan w:val="2"/>
            <w:tcBorders>
              <w:top w:val="nil"/>
              <w:left w:val="nil"/>
              <w:bottom w:val="nil"/>
              <w:right w:val="nil"/>
            </w:tcBorders>
            <w:shd w:val="clear" w:color="auto" w:fill="auto"/>
            <w:noWrap/>
            <w:vAlign w:val="bottom"/>
            <w:hideMark/>
          </w:tcPr>
          <w:p w14:paraId="613A1564"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26.8</w:t>
            </w:r>
          </w:p>
        </w:tc>
        <w:tc>
          <w:tcPr>
            <w:tcW w:w="1260" w:type="dxa"/>
            <w:gridSpan w:val="2"/>
            <w:tcBorders>
              <w:top w:val="nil"/>
              <w:left w:val="nil"/>
              <w:bottom w:val="nil"/>
              <w:right w:val="nil"/>
            </w:tcBorders>
            <w:shd w:val="clear" w:color="auto" w:fill="auto"/>
            <w:noWrap/>
            <w:vAlign w:val="bottom"/>
            <w:hideMark/>
          </w:tcPr>
          <w:p w14:paraId="0C539631"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52,456,233</w:t>
            </w:r>
          </w:p>
        </w:tc>
        <w:tc>
          <w:tcPr>
            <w:tcW w:w="1120" w:type="dxa"/>
            <w:tcBorders>
              <w:top w:val="nil"/>
              <w:left w:val="nil"/>
              <w:bottom w:val="nil"/>
              <w:right w:val="nil"/>
            </w:tcBorders>
            <w:shd w:val="clear" w:color="auto" w:fill="auto"/>
            <w:noWrap/>
            <w:vAlign w:val="bottom"/>
            <w:hideMark/>
          </w:tcPr>
          <w:p w14:paraId="7DB588C0"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39.7</w:t>
            </w:r>
          </w:p>
        </w:tc>
      </w:tr>
      <w:tr w:rsidR="00497593" w:rsidRPr="00497593" w14:paraId="6866EB5D" w14:textId="77777777" w:rsidTr="00A2143C">
        <w:trPr>
          <w:trHeight w:val="334"/>
        </w:trPr>
        <w:tc>
          <w:tcPr>
            <w:tcW w:w="1890" w:type="dxa"/>
            <w:tcBorders>
              <w:top w:val="nil"/>
              <w:left w:val="nil"/>
              <w:bottom w:val="nil"/>
              <w:right w:val="nil"/>
            </w:tcBorders>
            <w:shd w:val="clear" w:color="000000" w:fill="E2EFDA"/>
            <w:noWrap/>
            <w:vAlign w:val="bottom"/>
            <w:hideMark/>
          </w:tcPr>
          <w:p w14:paraId="5AC2DB75" w14:textId="696697E6"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 xml:space="preserve">Close </w:t>
            </w:r>
            <w:r w:rsidR="007D0ABE">
              <w:rPr>
                <w:rFonts w:ascii="Calibri" w:eastAsia="Times New Roman" w:hAnsi="Calibri" w:cs="Times New Roman"/>
                <w:color w:val="000000"/>
                <w:sz w:val="20"/>
                <w:szCs w:val="20"/>
              </w:rPr>
              <w:t>Proximity</w:t>
            </w:r>
            <w:r w:rsidRPr="00497593">
              <w:rPr>
                <w:rFonts w:ascii="Calibri" w:eastAsia="Times New Roman" w:hAnsi="Calibri" w:cs="Times New Roman"/>
                <w:color w:val="000000"/>
                <w:sz w:val="20"/>
                <w:szCs w:val="20"/>
              </w:rPr>
              <w:t xml:space="preserve"> 1</w:t>
            </w:r>
            <w:r w:rsidRPr="00497593">
              <w:rPr>
                <w:rFonts w:ascii="Calibri" w:eastAsia="Times New Roman" w:hAnsi="Calibri" w:cs="Times New Roman"/>
                <w:b/>
                <w:bCs/>
                <w:color w:val="000000"/>
                <w:sz w:val="20"/>
                <w:szCs w:val="20"/>
                <w:vertAlign w:val="superscript"/>
              </w:rPr>
              <w:t xml:space="preserve">d </w:t>
            </w:r>
          </w:p>
        </w:tc>
        <w:tc>
          <w:tcPr>
            <w:tcW w:w="2340" w:type="dxa"/>
            <w:gridSpan w:val="2"/>
            <w:tcBorders>
              <w:top w:val="nil"/>
              <w:left w:val="nil"/>
              <w:bottom w:val="nil"/>
              <w:right w:val="nil"/>
            </w:tcBorders>
            <w:shd w:val="clear" w:color="auto" w:fill="auto"/>
            <w:noWrap/>
            <w:vAlign w:val="center"/>
            <w:hideMark/>
          </w:tcPr>
          <w:p w14:paraId="006A1071" w14:textId="77777777"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 xml:space="preserve">3. Close </w:t>
            </w:r>
          </w:p>
        </w:tc>
        <w:tc>
          <w:tcPr>
            <w:tcW w:w="1170" w:type="dxa"/>
            <w:gridSpan w:val="2"/>
            <w:tcBorders>
              <w:top w:val="nil"/>
              <w:left w:val="nil"/>
              <w:bottom w:val="nil"/>
              <w:right w:val="nil"/>
            </w:tcBorders>
            <w:shd w:val="clear" w:color="auto" w:fill="auto"/>
            <w:noWrap/>
            <w:vAlign w:val="bottom"/>
            <w:hideMark/>
          </w:tcPr>
          <w:p w14:paraId="000578F9"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48</w:t>
            </w:r>
          </w:p>
        </w:tc>
        <w:tc>
          <w:tcPr>
            <w:tcW w:w="1260" w:type="dxa"/>
            <w:gridSpan w:val="2"/>
            <w:tcBorders>
              <w:top w:val="nil"/>
              <w:left w:val="nil"/>
              <w:bottom w:val="nil"/>
              <w:right w:val="nil"/>
            </w:tcBorders>
            <w:shd w:val="clear" w:color="auto" w:fill="auto"/>
            <w:noWrap/>
            <w:vAlign w:val="bottom"/>
            <w:hideMark/>
          </w:tcPr>
          <w:p w14:paraId="6CFEAB97"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6.9</w:t>
            </w:r>
          </w:p>
        </w:tc>
        <w:tc>
          <w:tcPr>
            <w:tcW w:w="1260" w:type="dxa"/>
            <w:gridSpan w:val="2"/>
            <w:tcBorders>
              <w:top w:val="nil"/>
              <w:left w:val="nil"/>
              <w:bottom w:val="nil"/>
              <w:right w:val="nil"/>
            </w:tcBorders>
            <w:shd w:val="clear" w:color="auto" w:fill="auto"/>
            <w:noWrap/>
            <w:vAlign w:val="bottom"/>
            <w:hideMark/>
          </w:tcPr>
          <w:p w14:paraId="0109C1F8"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15,774,605</w:t>
            </w:r>
          </w:p>
        </w:tc>
        <w:tc>
          <w:tcPr>
            <w:tcW w:w="1120" w:type="dxa"/>
            <w:tcBorders>
              <w:top w:val="nil"/>
              <w:left w:val="nil"/>
              <w:bottom w:val="nil"/>
              <w:right w:val="nil"/>
            </w:tcBorders>
            <w:shd w:val="clear" w:color="auto" w:fill="auto"/>
            <w:noWrap/>
            <w:vAlign w:val="bottom"/>
            <w:hideMark/>
          </w:tcPr>
          <w:p w14:paraId="6E630941"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11.9</w:t>
            </w:r>
          </w:p>
        </w:tc>
      </w:tr>
      <w:tr w:rsidR="00497593" w:rsidRPr="00497593" w14:paraId="5A131267" w14:textId="77777777" w:rsidTr="00A2143C">
        <w:trPr>
          <w:trHeight w:val="334"/>
        </w:trPr>
        <w:tc>
          <w:tcPr>
            <w:tcW w:w="1890" w:type="dxa"/>
            <w:tcBorders>
              <w:top w:val="nil"/>
              <w:left w:val="nil"/>
              <w:bottom w:val="nil"/>
              <w:right w:val="nil"/>
            </w:tcBorders>
            <w:shd w:val="clear" w:color="000000" w:fill="E2EFDA"/>
            <w:noWrap/>
            <w:vAlign w:val="bottom"/>
            <w:hideMark/>
          </w:tcPr>
          <w:p w14:paraId="4F60319D" w14:textId="2BF7B23B"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 xml:space="preserve">Close </w:t>
            </w:r>
            <w:r w:rsidR="007D0ABE">
              <w:rPr>
                <w:rFonts w:ascii="Calibri" w:eastAsia="Times New Roman" w:hAnsi="Calibri" w:cs="Times New Roman"/>
                <w:color w:val="000000"/>
                <w:sz w:val="20"/>
                <w:szCs w:val="20"/>
              </w:rPr>
              <w:t>Proximity</w:t>
            </w:r>
            <w:r w:rsidRPr="00497593">
              <w:rPr>
                <w:rFonts w:ascii="Calibri" w:eastAsia="Times New Roman" w:hAnsi="Calibri" w:cs="Times New Roman"/>
                <w:color w:val="000000"/>
                <w:sz w:val="20"/>
                <w:szCs w:val="20"/>
              </w:rPr>
              <w:t xml:space="preserve"> 1</w:t>
            </w:r>
            <w:r w:rsidRPr="00497593">
              <w:rPr>
                <w:rFonts w:ascii="Calibri" w:eastAsia="Times New Roman" w:hAnsi="Calibri" w:cs="Times New Roman"/>
                <w:b/>
                <w:bCs/>
                <w:color w:val="000000"/>
                <w:sz w:val="20"/>
                <w:szCs w:val="20"/>
                <w:vertAlign w:val="superscript"/>
              </w:rPr>
              <w:t xml:space="preserve">d </w:t>
            </w:r>
          </w:p>
        </w:tc>
        <w:tc>
          <w:tcPr>
            <w:tcW w:w="2340" w:type="dxa"/>
            <w:gridSpan w:val="2"/>
            <w:tcBorders>
              <w:top w:val="nil"/>
              <w:left w:val="nil"/>
              <w:bottom w:val="nil"/>
              <w:right w:val="nil"/>
            </w:tcBorders>
            <w:shd w:val="clear" w:color="auto" w:fill="auto"/>
            <w:noWrap/>
            <w:vAlign w:val="center"/>
            <w:hideMark/>
          </w:tcPr>
          <w:p w14:paraId="385C4447" w14:textId="77777777"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2. Somewhat close</w:t>
            </w:r>
          </w:p>
        </w:tc>
        <w:tc>
          <w:tcPr>
            <w:tcW w:w="1170" w:type="dxa"/>
            <w:gridSpan w:val="2"/>
            <w:tcBorders>
              <w:top w:val="nil"/>
              <w:left w:val="nil"/>
              <w:bottom w:val="nil"/>
              <w:right w:val="nil"/>
            </w:tcBorders>
            <w:shd w:val="clear" w:color="auto" w:fill="auto"/>
            <w:noWrap/>
            <w:vAlign w:val="bottom"/>
            <w:hideMark/>
          </w:tcPr>
          <w:p w14:paraId="46B43561"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84</w:t>
            </w:r>
          </w:p>
        </w:tc>
        <w:tc>
          <w:tcPr>
            <w:tcW w:w="1260" w:type="dxa"/>
            <w:gridSpan w:val="2"/>
            <w:tcBorders>
              <w:top w:val="nil"/>
              <w:left w:val="nil"/>
              <w:bottom w:val="nil"/>
              <w:right w:val="nil"/>
            </w:tcBorders>
            <w:shd w:val="clear" w:color="auto" w:fill="auto"/>
            <w:noWrap/>
            <w:vAlign w:val="bottom"/>
            <w:hideMark/>
          </w:tcPr>
          <w:p w14:paraId="0A709F10"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12.1</w:t>
            </w:r>
          </w:p>
        </w:tc>
        <w:tc>
          <w:tcPr>
            <w:tcW w:w="1260" w:type="dxa"/>
            <w:gridSpan w:val="2"/>
            <w:tcBorders>
              <w:top w:val="nil"/>
              <w:left w:val="nil"/>
              <w:bottom w:val="nil"/>
              <w:right w:val="nil"/>
            </w:tcBorders>
            <w:shd w:val="clear" w:color="auto" w:fill="auto"/>
            <w:noWrap/>
            <w:vAlign w:val="bottom"/>
            <w:hideMark/>
          </w:tcPr>
          <w:p w14:paraId="1D92CD9B"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18,295,523</w:t>
            </w:r>
          </w:p>
        </w:tc>
        <w:tc>
          <w:tcPr>
            <w:tcW w:w="1120" w:type="dxa"/>
            <w:tcBorders>
              <w:top w:val="nil"/>
              <w:left w:val="nil"/>
              <w:bottom w:val="nil"/>
              <w:right w:val="nil"/>
            </w:tcBorders>
            <w:shd w:val="clear" w:color="auto" w:fill="auto"/>
            <w:noWrap/>
            <w:vAlign w:val="bottom"/>
            <w:hideMark/>
          </w:tcPr>
          <w:p w14:paraId="23E66DE8"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13.8</w:t>
            </w:r>
          </w:p>
        </w:tc>
      </w:tr>
      <w:tr w:rsidR="00497593" w:rsidRPr="00497593" w14:paraId="060547A2" w14:textId="77777777" w:rsidTr="00A2143C">
        <w:trPr>
          <w:trHeight w:val="334"/>
        </w:trPr>
        <w:tc>
          <w:tcPr>
            <w:tcW w:w="1890" w:type="dxa"/>
            <w:tcBorders>
              <w:top w:val="nil"/>
              <w:left w:val="nil"/>
              <w:bottom w:val="nil"/>
              <w:right w:val="nil"/>
            </w:tcBorders>
            <w:shd w:val="clear" w:color="000000" w:fill="E2EFDA"/>
            <w:noWrap/>
            <w:vAlign w:val="bottom"/>
            <w:hideMark/>
          </w:tcPr>
          <w:p w14:paraId="28B5F14E" w14:textId="5BE700D1"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 xml:space="preserve">Close </w:t>
            </w:r>
            <w:r w:rsidR="007D0ABE">
              <w:rPr>
                <w:rFonts w:ascii="Calibri" w:eastAsia="Times New Roman" w:hAnsi="Calibri" w:cs="Times New Roman"/>
                <w:color w:val="000000"/>
                <w:sz w:val="20"/>
                <w:szCs w:val="20"/>
              </w:rPr>
              <w:t>Proximity</w:t>
            </w:r>
            <w:r w:rsidRPr="00497593">
              <w:rPr>
                <w:rFonts w:ascii="Calibri" w:eastAsia="Times New Roman" w:hAnsi="Calibri" w:cs="Times New Roman"/>
                <w:color w:val="000000"/>
                <w:sz w:val="20"/>
                <w:szCs w:val="20"/>
              </w:rPr>
              <w:t xml:space="preserve"> 1</w:t>
            </w:r>
            <w:r w:rsidRPr="00497593">
              <w:rPr>
                <w:rFonts w:ascii="Calibri" w:eastAsia="Times New Roman" w:hAnsi="Calibri" w:cs="Times New Roman"/>
                <w:b/>
                <w:bCs/>
                <w:color w:val="000000"/>
                <w:sz w:val="20"/>
                <w:szCs w:val="20"/>
                <w:vertAlign w:val="superscript"/>
              </w:rPr>
              <w:t xml:space="preserve">d </w:t>
            </w:r>
          </w:p>
        </w:tc>
        <w:tc>
          <w:tcPr>
            <w:tcW w:w="2340" w:type="dxa"/>
            <w:gridSpan w:val="2"/>
            <w:tcBorders>
              <w:top w:val="nil"/>
              <w:left w:val="nil"/>
              <w:bottom w:val="nil"/>
              <w:right w:val="nil"/>
            </w:tcBorders>
            <w:shd w:val="clear" w:color="auto" w:fill="auto"/>
            <w:noWrap/>
            <w:vAlign w:val="center"/>
            <w:hideMark/>
          </w:tcPr>
          <w:p w14:paraId="66F708C9" w14:textId="77777777"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 xml:space="preserve">1. Not close </w:t>
            </w:r>
          </w:p>
        </w:tc>
        <w:tc>
          <w:tcPr>
            <w:tcW w:w="1170" w:type="dxa"/>
            <w:gridSpan w:val="2"/>
            <w:tcBorders>
              <w:top w:val="nil"/>
              <w:left w:val="nil"/>
              <w:bottom w:val="nil"/>
              <w:right w:val="nil"/>
            </w:tcBorders>
            <w:shd w:val="clear" w:color="auto" w:fill="auto"/>
            <w:noWrap/>
            <w:vAlign w:val="bottom"/>
            <w:hideMark/>
          </w:tcPr>
          <w:p w14:paraId="2E1903DA"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378</w:t>
            </w:r>
          </w:p>
        </w:tc>
        <w:tc>
          <w:tcPr>
            <w:tcW w:w="1260" w:type="dxa"/>
            <w:gridSpan w:val="2"/>
            <w:tcBorders>
              <w:top w:val="nil"/>
              <w:left w:val="nil"/>
              <w:bottom w:val="nil"/>
              <w:right w:val="nil"/>
            </w:tcBorders>
            <w:shd w:val="clear" w:color="auto" w:fill="auto"/>
            <w:noWrap/>
            <w:vAlign w:val="bottom"/>
            <w:hideMark/>
          </w:tcPr>
          <w:p w14:paraId="10B58D34"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54.2</w:t>
            </w:r>
          </w:p>
        </w:tc>
        <w:tc>
          <w:tcPr>
            <w:tcW w:w="1260" w:type="dxa"/>
            <w:gridSpan w:val="2"/>
            <w:tcBorders>
              <w:top w:val="nil"/>
              <w:left w:val="nil"/>
              <w:bottom w:val="nil"/>
              <w:right w:val="nil"/>
            </w:tcBorders>
            <w:shd w:val="clear" w:color="auto" w:fill="auto"/>
            <w:noWrap/>
            <w:vAlign w:val="bottom"/>
            <w:hideMark/>
          </w:tcPr>
          <w:p w14:paraId="1FF6B08D"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45,798,235</w:t>
            </w:r>
          </w:p>
        </w:tc>
        <w:tc>
          <w:tcPr>
            <w:tcW w:w="1120" w:type="dxa"/>
            <w:tcBorders>
              <w:top w:val="nil"/>
              <w:left w:val="nil"/>
              <w:bottom w:val="nil"/>
              <w:right w:val="nil"/>
            </w:tcBorders>
            <w:shd w:val="clear" w:color="auto" w:fill="auto"/>
            <w:noWrap/>
            <w:vAlign w:val="bottom"/>
            <w:hideMark/>
          </w:tcPr>
          <w:p w14:paraId="55DFCE97"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34.6</w:t>
            </w:r>
          </w:p>
        </w:tc>
      </w:tr>
      <w:tr w:rsidR="00497593" w:rsidRPr="00497593" w14:paraId="5CDDFE4F" w14:textId="77777777" w:rsidTr="00A2143C">
        <w:trPr>
          <w:trHeight w:val="334"/>
        </w:trPr>
        <w:tc>
          <w:tcPr>
            <w:tcW w:w="1890" w:type="dxa"/>
            <w:tcBorders>
              <w:top w:val="nil"/>
              <w:left w:val="nil"/>
              <w:bottom w:val="nil"/>
              <w:right w:val="nil"/>
            </w:tcBorders>
            <w:shd w:val="clear" w:color="000000" w:fill="E2EFDA"/>
            <w:noWrap/>
            <w:vAlign w:val="bottom"/>
            <w:hideMark/>
          </w:tcPr>
          <w:p w14:paraId="1399BDFD" w14:textId="3D5E1FB6"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 xml:space="preserve">Close </w:t>
            </w:r>
            <w:r w:rsidR="007D0ABE">
              <w:rPr>
                <w:rFonts w:ascii="Calibri" w:eastAsia="Times New Roman" w:hAnsi="Calibri" w:cs="Times New Roman"/>
                <w:color w:val="000000"/>
                <w:sz w:val="20"/>
                <w:szCs w:val="20"/>
              </w:rPr>
              <w:t>Proximity</w:t>
            </w:r>
            <w:r w:rsidRPr="00497593">
              <w:rPr>
                <w:rFonts w:ascii="Calibri" w:eastAsia="Times New Roman" w:hAnsi="Calibri" w:cs="Times New Roman"/>
                <w:color w:val="000000"/>
                <w:sz w:val="20"/>
                <w:szCs w:val="20"/>
              </w:rPr>
              <w:t xml:space="preserve"> 1</w:t>
            </w:r>
            <w:r w:rsidRPr="00497593">
              <w:rPr>
                <w:rFonts w:ascii="Calibri" w:eastAsia="Times New Roman" w:hAnsi="Calibri" w:cs="Times New Roman"/>
                <w:b/>
                <w:bCs/>
                <w:color w:val="000000"/>
                <w:sz w:val="20"/>
                <w:szCs w:val="20"/>
                <w:vertAlign w:val="superscript"/>
              </w:rPr>
              <w:t xml:space="preserve">d </w:t>
            </w:r>
          </w:p>
        </w:tc>
        <w:tc>
          <w:tcPr>
            <w:tcW w:w="2340" w:type="dxa"/>
            <w:gridSpan w:val="2"/>
            <w:tcBorders>
              <w:top w:val="nil"/>
              <w:left w:val="nil"/>
              <w:bottom w:val="nil"/>
              <w:right w:val="nil"/>
            </w:tcBorders>
            <w:shd w:val="clear" w:color="auto" w:fill="auto"/>
            <w:noWrap/>
            <w:vAlign w:val="center"/>
            <w:hideMark/>
          </w:tcPr>
          <w:p w14:paraId="0C1A45DD" w14:textId="77777777"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TOTAL</w:t>
            </w:r>
          </w:p>
        </w:tc>
        <w:tc>
          <w:tcPr>
            <w:tcW w:w="1170" w:type="dxa"/>
            <w:gridSpan w:val="2"/>
            <w:tcBorders>
              <w:top w:val="nil"/>
              <w:left w:val="nil"/>
              <w:bottom w:val="nil"/>
              <w:right w:val="nil"/>
            </w:tcBorders>
            <w:shd w:val="clear" w:color="auto" w:fill="auto"/>
            <w:noWrap/>
            <w:vAlign w:val="bottom"/>
            <w:hideMark/>
          </w:tcPr>
          <w:p w14:paraId="66F6F68A"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696</w:t>
            </w:r>
          </w:p>
        </w:tc>
        <w:tc>
          <w:tcPr>
            <w:tcW w:w="1260" w:type="dxa"/>
            <w:gridSpan w:val="2"/>
            <w:tcBorders>
              <w:top w:val="nil"/>
              <w:left w:val="nil"/>
              <w:bottom w:val="nil"/>
              <w:right w:val="nil"/>
            </w:tcBorders>
            <w:shd w:val="clear" w:color="auto" w:fill="auto"/>
            <w:noWrap/>
            <w:vAlign w:val="bottom"/>
            <w:hideMark/>
          </w:tcPr>
          <w:p w14:paraId="2B5D025F"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100.0</w:t>
            </w:r>
          </w:p>
        </w:tc>
        <w:tc>
          <w:tcPr>
            <w:tcW w:w="1260" w:type="dxa"/>
            <w:gridSpan w:val="2"/>
            <w:tcBorders>
              <w:top w:val="nil"/>
              <w:left w:val="nil"/>
              <w:bottom w:val="nil"/>
              <w:right w:val="nil"/>
            </w:tcBorders>
            <w:shd w:val="clear" w:color="auto" w:fill="auto"/>
            <w:noWrap/>
            <w:vAlign w:val="bottom"/>
            <w:hideMark/>
          </w:tcPr>
          <w:p w14:paraId="2A30C21E"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132,324,596</w:t>
            </w:r>
          </w:p>
        </w:tc>
        <w:tc>
          <w:tcPr>
            <w:tcW w:w="1120" w:type="dxa"/>
            <w:tcBorders>
              <w:top w:val="nil"/>
              <w:left w:val="nil"/>
              <w:bottom w:val="nil"/>
              <w:right w:val="nil"/>
            </w:tcBorders>
            <w:shd w:val="clear" w:color="auto" w:fill="auto"/>
            <w:noWrap/>
            <w:vAlign w:val="bottom"/>
            <w:hideMark/>
          </w:tcPr>
          <w:p w14:paraId="2B93B6F1"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100.0</w:t>
            </w:r>
          </w:p>
        </w:tc>
      </w:tr>
      <w:tr w:rsidR="00497593" w:rsidRPr="00497593" w14:paraId="699EFA7A" w14:textId="77777777" w:rsidTr="00A2143C">
        <w:trPr>
          <w:trHeight w:val="334"/>
        </w:trPr>
        <w:tc>
          <w:tcPr>
            <w:tcW w:w="1890" w:type="dxa"/>
            <w:tcBorders>
              <w:top w:val="nil"/>
              <w:left w:val="nil"/>
              <w:bottom w:val="nil"/>
              <w:right w:val="nil"/>
            </w:tcBorders>
            <w:shd w:val="clear" w:color="000000" w:fill="C6E0B4"/>
            <w:noWrap/>
            <w:vAlign w:val="bottom"/>
            <w:hideMark/>
          </w:tcPr>
          <w:p w14:paraId="4B7216D5" w14:textId="37A15FC6"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 xml:space="preserve">Close </w:t>
            </w:r>
            <w:r w:rsidR="007D0ABE">
              <w:rPr>
                <w:rFonts w:ascii="Calibri" w:eastAsia="Times New Roman" w:hAnsi="Calibri" w:cs="Times New Roman"/>
                <w:color w:val="000000"/>
                <w:sz w:val="20"/>
                <w:szCs w:val="20"/>
              </w:rPr>
              <w:t>Proximity</w:t>
            </w:r>
            <w:r w:rsidRPr="00497593">
              <w:rPr>
                <w:rFonts w:ascii="Calibri" w:eastAsia="Times New Roman" w:hAnsi="Calibri" w:cs="Times New Roman"/>
                <w:color w:val="000000"/>
                <w:sz w:val="20"/>
                <w:szCs w:val="20"/>
              </w:rPr>
              <w:t xml:space="preserve"> 2</w:t>
            </w:r>
            <w:r w:rsidRPr="00497593">
              <w:rPr>
                <w:rFonts w:ascii="Calibri" w:eastAsia="Times New Roman" w:hAnsi="Calibri" w:cs="Times New Roman"/>
                <w:b/>
                <w:bCs/>
                <w:color w:val="000000"/>
                <w:sz w:val="20"/>
                <w:szCs w:val="20"/>
                <w:vertAlign w:val="superscript"/>
              </w:rPr>
              <w:t>e</w:t>
            </w:r>
          </w:p>
        </w:tc>
        <w:tc>
          <w:tcPr>
            <w:tcW w:w="2340" w:type="dxa"/>
            <w:gridSpan w:val="2"/>
            <w:tcBorders>
              <w:top w:val="nil"/>
              <w:left w:val="nil"/>
              <w:bottom w:val="nil"/>
              <w:right w:val="nil"/>
            </w:tcBorders>
            <w:shd w:val="clear" w:color="auto" w:fill="auto"/>
            <w:noWrap/>
            <w:vAlign w:val="center"/>
            <w:hideMark/>
          </w:tcPr>
          <w:p w14:paraId="72E2C610" w14:textId="77777777"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 xml:space="preserve">4. Very close </w:t>
            </w:r>
          </w:p>
        </w:tc>
        <w:tc>
          <w:tcPr>
            <w:tcW w:w="1170" w:type="dxa"/>
            <w:gridSpan w:val="2"/>
            <w:tcBorders>
              <w:top w:val="nil"/>
              <w:left w:val="nil"/>
              <w:bottom w:val="nil"/>
              <w:right w:val="nil"/>
            </w:tcBorders>
            <w:shd w:val="clear" w:color="auto" w:fill="auto"/>
            <w:noWrap/>
            <w:vAlign w:val="bottom"/>
            <w:hideMark/>
          </w:tcPr>
          <w:p w14:paraId="00D5481B"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306</w:t>
            </w:r>
          </w:p>
        </w:tc>
        <w:tc>
          <w:tcPr>
            <w:tcW w:w="1260" w:type="dxa"/>
            <w:gridSpan w:val="2"/>
            <w:tcBorders>
              <w:top w:val="nil"/>
              <w:left w:val="nil"/>
              <w:bottom w:val="nil"/>
              <w:right w:val="nil"/>
            </w:tcBorders>
            <w:shd w:val="clear" w:color="auto" w:fill="auto"/>
            <w:noWrap/>
            <w:vAlign w:val="bottom"/>
            <w:hideMark/>
          </w:tcPr>
          <w:p w14:paraId="113BE3B1"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43.9</w:t>
            </w:r>
          </w:p>
        </w:tc>
        <w:tc>
          <w:tcPr>
            <w:tcW w:w="1260" w:type="dxa"/>
            <w:gridSpan w:val="2"/>
            <w:tcBorders>
              <w:top w:val="nil"/>
              <w:left w:val="nil"/>
              <w:bottom w:val="nil"/>
              <w:right w:val="nil"/>
            </w:tcBorders>
            <w:shd w:val="clear" w:color="auto" w:fill="auto"/>
            <w:noWrap/>
            <w:vAlign w:val="bottom"/>
            <w:hideMark/>
          </w:tcPr>
          <w:p w14:paraId="419AB367"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80,576,083</w:t>
            </w:r>
          </w:p>
        </w:tc>
        <w:tc>
          <w:tcPr>
            <w:tcW w:w="1120" w:type="dxa"/>
            <w:tcBorders>
              <w:top w:val="nil"/>
              <w:left w:val="nil"/>
              <w:bottom w:val="nil"/>
              <w:right w:val="nil"/>
            </w:tcBorders>
            <w:shd w:val="clear" w:color="auto" w:fill="auto"/>
            <w:noWrap/>
            <w:vAlign w:val="bottom"/>
            <w:hideMark/>
          </w:tcPr>
          <w:p w14:paraId="66E13AF0"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60.9</w:t>
            </w:r>
          </w:p>
        </w:tc>
      </w:tr>
      <w:tr w:rsidR="00497593" w:rsidRPr="00497593" w14:paraId="7824DB48" w14:textId="77777777" w:rsidTr="00A2143C">
        <w:trPr>
          <w:trHeight w:val="334"/>
        </w:trPr>
        <w:tc>
          <w:tcPr>
            <w:tcW w:w="1890" w:type="dxa"/>
            <w:tcBorders>
              <w:top w:val="nil"/>
              <w:left w:val="nil"/>
              <w:bottom w:val="nil"/>
              <w:right w:val="nil"/>
            </w:tcBorders>
            <w:shd w:val="clear" w:color="000000" w:fill="C6E0B4"/>
            <w:noWrap/>
            <w:vAlign w:val="bottom"/>
            <w:hideMark/>
          </w:tcPr>
          <w:p w14:paraId="12FC0CBD" w14:textId="7C1A14C2"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 xml:space="preserve">Close </w:t>
            </w:r>
            <w:r w:rsidR="007D0ABE">
              <w:rPr>
                <w:rFonts w:ascii="Calibri" w:eastAsia="Times New Roman" w:hAnsi="Calibri" w:cs="Times New Roman"/>
                <w:color w:val="000000"/>
                <w:sz w:val="20"/>
                <w:szCs w:val="20"/>
              </w:rPr>
              <w:t>Proximity</w:t>
            </w:r>
            <w:r w:rsidRPr="00497593">
              <w:rPr>
                <w:rFonts w:ascii="Calibri" w:eastAsia="Times New Roman" w:hAnsi="Calibri" w:cs="Times New Roman"/>
                <w:color w:val="000000"/>
                <w:sz w:val="20"/>
                <w:szCs w:val="20"/>
              </w:rPr>
              <w:t xml:space="preserve"> 2</w:t>
            </w:r>
            <w:r w:rsidRPr="00497593">
              <w:rPr>
                <w:rFonts w:ascii="Calibri" w:eastAsia="Times New Roman" w:hAnsi="Calibri" w:cs="Times New Roman"/>
                <w:b/>
                <w:bCs/>
                <w:color w:val="000000"/>
                <w:sz w:val="20"/>
                <w:szCs w:val="20"/>
                <w:vertAlign w:val="superscript"/>
              </w:rPr>
              <w:t>e</w:t>
            </w:r>
          </w:p>
        </w:tc>
        <w:tc>
          <w:tcPr>
            <w:tcW w:w="2340" w:type="dxa"/>
            <w:gridSpan w:val="2"/>
            <w:tcBorders>
              <w:top w:val="nil"/>
              <w:left w:val="nil"/>
              <w:bottom w:val="nil"/>
              <w:right w:val="nil"/>
            </w:tcBorders>
            <w:shd w:val="clear" w:color="auto" w:fill="auto"/>
            <w:noWrap/>
            <w:vAlign w:val="center"/>
            <w:hideMark/>
          </w:tcPr>
          <w:p w14:paraId="6A817025" w14:textId="77777777"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3. Close</w:t>
            </w:r>
          </w:p>
        </w:tc>
        <w:tc>
          <w:tcPr>
            <w:tcW w:w="1170" w:type="dxa"/>
            <w:gridSpan w:val="2"/>
            <w:tcBorders>
              <w:top w:val="nil"/>
              <w:left w:val="nil"/>
              <w:bottom w:val="nil"/>
              <w:right w:val="nil"/>
            </w:tcBorders>
            <w:shd w:val="clear" w:color="auto" w:fill="auto"/>
            <w:noWrap/>
            <w:vAlign w:val="bottom"/>
            <w:hideMark/>
          </w:tcPr>
          <w:p w14:paraId="02B83235"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36</w:t>
            </w:r>
          </w:p>
        </w:tc>
        <w:tc>
          <w:tcPr>
            <w:tcW w:w="1260" w:type="dxa"/>
            <w:gridSpan w:val="2"/>
            <w:tcBorders>
              <w:top w:val="nil"/>
              <w:left w:val="nil"/>
              <w:bottom w:val="nil"/>
              <w:right w:val="nil"/>
            </w:tcBorders>
            <w:shd w:val="clear" w:color="auto" w:fill="auto"/>
            <w:noWrap/>
            <w:vAlign w:val="bottom"/>
            <w:hideMark/>
          </w:tcPr>
          <w:p w14:paraId="6F6ACAE8"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5.2</w:t>
            </w:r>
          </w:p>
        </w:tc>
        <w:tc>
          <w:tcPr>
            <w:tcW w:w="1260" w:type="dxa"/>
            <w:gridSpan w:val="2"/>
            <w:tcBorders>
              <w:top w:val="nil"/>
              <w:left w:val="nil"/>
              <w:bottom w:val="nil"/>
              <w:right w:val="nil"/>
            </w:tcBorders>
            <w:shd w:val="clear" w:color="auto" w:fill="auto"/>
            <w:noWrap/>
            <w:vAlign w:val="bottom"/>
            <w:hideMark/>
          </w:tcPr>
          <w:p w14:paraId="6EF71433"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7,487,466</w:t>
            </w:r>
          </w:p>
        </w:tc>
        <w:tc>
          <w:tcPr>
            <w:tcW w:w="1120" w:type="dxa"/>
            <w:tcBorders>
              <w:top w:val="nil"/>
              <w:left w:val="nil"/>
              <w:bottom w:val="nil"/>
              <w:right w:val="nil"/>
            </w:tcBorders>
            <w:shd w:val="clear" w:color="auto" w:fill="auto"/>
            <w:noWrap/>
            <w:vAlign w:val="bottom"/>
            <w:hideMark/>
          </w:tcPr>
          <w:p w14:paraId="17CEEB48"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5.7</w:t>
            </w:r>
          </w:p>
        </w:tc>
      </w:tr>
      <w:tr w:rsidR="00497593" w:rsidRPr="00497593" w14:paraId="10F21C15" w14:textId="77777777" w:rsidTr="00A2143C">
        <w:trPr>
          <w:trHeight w:val="334"/>
        </w:trPr>
        <w:tc>
          <w:tcPr>
            <w:tcW w:w="1890" w:type="dxa"/>
            <w:tcBorders>
              <w:top w:val="nil"/>
              <w:left w:val="nil"/>
              <w:bottom w:val="nil"/>
              <w:right w:val="nil"/>
            </w:tcBorders>
            <w:shd w:val="clear" w:color="000000" w:fill="C6E0B4"/>
            <w:noWrap/>
            <w:vAlign w:val="bottom"/>
            <w:hideMark/>
          </w:tcPr>
          <w:p w14:paraId="38FD46DA" w14:textId="56FFB005"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 xml:space="preserve">Close </w:t>
            </w:r>
            <w:r w:rsidR="007D0ABE">
              <w:rPr>
                <w:rFonts w:ascii="Calibri" w:eastAsia="Times New Roman" w:hAnsi="Calibri" w:cs="Times New Roman"/>
                <w:color w:val="000000"/>
                <w:sz w:val="20"/>
                <w:szCs w:val="20"/>
              </w:rPr>
              <w:t>Proximity</w:t>
            </w:r>
            <w:r w:rsidRPr="00497593">
              <w:rPr>
                <w:rFonts w:ascii="Calibri" w:eastAsia="Times New Roman" w:hAnsi="Calibri" w:cs="Times New Roman"/>
                <w:color w:val="000000"/>
                <w:sz w:val="20"/>
                <w:szCs w:val="20"/>
              </w:rPr>
              <w:t xml:space="preserve"> 2</w:t>
            </w:r>
            <w:r w:rsidRPr="00497593">
              <w:rPr>
                <w:rFonts w:ascii="Calibri" w:eastAsia="Times New Roman" w:hAnsi="Calibri" w:cs="Times New Roman"/>
                <w:b/>
                <w:bCs/>
                <w:color w:val="000000"/>
                <w:sz w:val="20"/>
                <w:szCs w:val="20"/>
                <w:vertAlign w:val="superscript"/>
              </w:rPr>
              <w:t>e</w:t>
            </w:r>
          </w:p>
        </w:tc>
        <w:tc>
          <w:tcPr>
            <w:tcW w:w="2340" w:type="dxa"/>
            <w:gridSpan w:val="2"/>
            <w:tcBorders>
              <w:top w:val="nil"/>
              <w:left w:val="nil"/>
              <w:bottom w:val="nil"/>
              <w:right w:val="nil"/>
            </w:tcBorders>
            <w:shd w:val="clear" w:color="auto" w:fill="auto"/>
            <w:noWrap/>
            <w:vAlign w:val="center"/>
            <w:hideMark/>
          </w:tcPr>
          <w:p w14:paraId="6793F009" w14:textId="77777777"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2. Somewhat close</w:t>
            </w:r>
          </w:p>
        </w:tc>
        <w:tc>
          <w:tcPr>
            <w:tcW w:w="1170" w:type="dxa"/>
            <w:gridSpan w:val="2"/>
            <w:tcBorders>
              <w:top w:val="nil"/>
              <w:left w:val="nil"/>
              <w:bottom w:val="nil"/>
              <w:right w:val="nil"/>
            </w:tcBorders>
            <w:shd w:val="clear" w:color="auto" w:fill="auto"/>
            <w:noWrap/>
            <w:vAlign w:val="bottom"/>
            <w:hideMark/>
          </w:tcPr>
          <w:p w14:paraId="316C771E"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59</w:t>
            </w:r>
          </w:p>
        </w:tc>
        <w:tc>
          <w:tcPr>
            <w:tcW w:w="1260" w:type="dxa"/>
            <w:gridSpan w:val="2"/>
            <w:tcBorders>
              <w:top w:val="nil"/>
              <w:left w:val="nil"/>
              <w:bottom w:val="nil"/>
              <w:right w:val="nil"/>
            </w:tcBorders>
            <w:shd w:val="clear" w:color="auto" w:fill="auto"/>
            <w:noWrap/>
            <w:vAlign w:val="bottom"/>
            <w:hideMark/>
          </w:tcPr>
          <w:p w14:paraId="29227851"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8.5</w:t>
            </w:r>
          </w:p>
        </w:tc>
        <w:tc>
          <w:tcPr>
            <w:tcW w:w="1260" w:type="dxa"/>
            <w:gridSpan w:val="2"/>
            <w:tcBorders>
              <w:top w:val="nil"/>
              <w:left w:val="nil"/>
              <w:bottom w:val="nil"/>
              <w:right w:val="nil"/>
            </w:tcBorders>
            <w:shd w:val="clear" w:color="auto" w:fill="auto"/>
            <w:noWrap/>
            <w:vAlign w:val="bottom"/>
            <w:hideMark/>
          </w:tcPr>
          <w:p w14:paraId="2A6E7AAB"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10,767,232</w:t>
            </w:r>
          </w:p>
        </w:tc>
        <w:tc>
          <w:tcPr>
            <w:tcW w:w="1120" w:type="dxa"/>
            <w:tcBorders>
              <w:top w:val="nil"/>
              <w:left w:val="nil"/>
              <w:bottom w:val="nil"/>
              <w:right w:val="nil"/>
            </w:tcBorders>
            <w:shd w:val="clear" w:color="auto" w:fill="auto"/>
            <w:noWrap/>
            <w:vAlign w:val="bottom"/>
            <w:hideMark/>
          </w:tcPr>
          <w:p w14:paraId="6B64B149"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8.1</w:t>
            </w:r>
          </w:p>
        </w:tc>
      </w:tr>
      <w:tr w:rsidR="00497593" w:rsidRPr="00497593" w14:paraId="4C068A91" w14:textId="77777777" w:rsidTr="00A2143C">
        <w:trPr>
          <w:trHeight w:val="334"/>
        </w:trPr>
        <w:tc>
          <w:tcPr>
            <w:tcW w:w="1890" w:type="dxa"/>
            <w:tcBorders>
              <w:top w:val="nil"/>
              <w:left w:val="nil"/>
              <w:bottom w:val="nil"/>
              <w:right w:val="nil"/>
            </w:tcBorders>
            <w:shd w:val="clear" w:color="000000" w:fill="C6E0B4"/>
            <w:noWrap/>
            <w:vAlign w:val="bottom"/>
            <w:hideMark/>
          </w:tcPr>
          <w:p w14:paraId="332C0E19" w14:textId="5AB6BE96"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 xml:space="preserve">Close </w:t>
            </w:r>
            <w:r w:rsidR="007D0ABE">
              <w:rPr>
                <w:rFonts w:ascii="Calibri" w:eastAsia="Times New Roman" w:hAnsi="Calibri" w:cs="Times New Roman"/>
                <w:color w:val="000000"/>
                <w:sz w:val="20"/>
                <w:szCs w:val="20"/>
              </w:rPr>
              <w:t>Proximity</w:t>
            </w:r>
            <w:r w:rsidRPr="00497593">
              <w:rPr>
                <w:rFonts w:ascii="Calibri" w:eastAsia="Times New Roman" w:hAnsi="Calibri" w:cs="Times New Roman"/>
                <w:color w:val="000000"/>
                <w:sz w:val="20"/>
                <w:szCs w:val="20"/>
              </w:rPr>
              <w:t xml:space="preserve"> 2</w:t>
            </w:r>
            <w:r w:rsidRPr="00497593">
              <w:rPr>
                <w:rFonts w:ascii="Calibri" w:eastAsia="Times New Roman" w:hAnsi="Calibri" w:cs="Times New Roman"/>
                <w:b/>
                <w:bCs/>
                <w:color w:val="000000"/>
                <w:sz w:val="20"/>
                <w:szCs w:val="20"/>
                <w:vertAlign w:val="superscript"/>
              </w:rPr>
              <w:t>e</w:t>
            </w:r>
          </w:p>
        </w:tc>
        <w:tc>
          <w:tcPr>
            <w:tcW w:w="2340" w:type="dxa"/>
            <w:gridSpan w:val="2"/>
            <w:tcBorders>
              <w:top w:val="nil"/>
              <w:left w:val="nil"/>
              <w:bottom w:val="nil"/>
              <w:right w:val="nil"/>
            </w:tcBorders>
            <w:shd w:val="clear" w:color="auto" w:fill="auto"/>
            <w:noWrap/>
            <w:vAlign w:val="center"/>
            <w:hideMark/>
          </w:tcPr>
          <w:p w14:paraId="3C259EF6" w14:textId="77777777"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 xml:space="preserve">1. Not close </w:t>
            </w:r>
          </w:p>
        </w:tc>
        <w:tc>
          <w:tcPr>
            <w:tcW w:w="1170" w:type="dxa"/>
            <w:gridSpan w:val="2"/>
            <w:tcBorders>
              <w:top w:val="nil"/>
              <w:left w:val="nil"/>
              <w:bottom w:val="nil"/>
              <w:right w:val="nil"/>
            </w:tcBorders>
            <w:shd w:val="clear" w:color="auto" w:fill="auto"/>
            <w:noWrap/>
            <w:vAlign w:val="bottom"/>
            <w:hideMark/>
          </w:tcPr>
          <w:p w14:paraId="0A5020F5"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295</w:t>
            </w:r>
          </w:p>
        </w:tc>
        <w:tc>
          <w:tcPr>
            <w:tcW w:w="1260" w:type="dxa"/>
            <w:gridSpan w:val="2"/>
            <w:tcBorders>
              <w:top w:val="nil"/>
              <w:left w:val="nil"/>
              <w:bottom w:val="nil"/>
              <w:right w:val="nil"/>
            </w:tcBorders>
            <w:shd w:val="clear" w:color="auto" w:fill="auto"/>
            <w:noWrap/>
            <w:vAlign w:val="bottom"/>
            <w:hideMark/>
          </w:tcPr>
          <w:p w14:paraId="3F0D0576"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42.3</w:t>
            </w:r>
          </w:p>
        </w:tc>
        <w:tc>
          <w:tcPr>
            <w:tcW w:w="1260" w:type="dxa"/>
            <w:gridSpan w:val="2"/>
            <w:tcBorders>
              <w:top w:val="nil"/>
              <w:left w:val="nil"/>
              <w:bottom w:val="nil"/>
              <w:right w:val="nil"/>
            </w:tcBorders>
            <w:shd w:val="clear" w:color="auto" w:fill="auto"/>
            <w:noWrap/>
            <w:vAlign w:val="bottom"/>
            <w:hideMark/>
          </w:tcPr>
          <w:p w14:paraId="71974B04"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33,493,815</w:t>
            </w:r>
          </w:p>
        </w:tc>
        <w:tc>
          <w:tcPr>
            <w:tcW w:w="1120" w:type="dxa"/>
            <w:tcBorders>
              <w:top w:val="nil"/>
              <w:left w:val="nil"/>
              <w:bottom w:val="nil"/>
              <w:right w:val="nil"/>
            </w:tcBorders>
            <w:shd w:val="clear" w:color="auto" w:fill="auto"/>
            <w:noWrap/>
            <w:vAlign w:val="bottom"/>
            <w:hideMark/>
          </w:tcPr>
          <w:p w14:paraId="5425DFC6"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25.3</w:t>
            </w:r>
          </w:p>
        </w:tc>
      </w:tr>
      <w:tr w:rsidR="00497593" w:rsidRPr="00497593" w14:paraId="13A666B9" w14:textId="77777777" w:rsidTr="00A2143C">
        <w:trPr>
          <w:trHeight w:val="334"/>
        </w:trPr>
        <w:tc>
          <w:tcPr>
            <w:tcW w:w="1890" w:type="dxa"/>
            <w:tcBorders>
              <w:top w:val="nil"/>
              <w:left w:val="nil"/>
              <w:bottom w:val="nil"/>
              <w:right w:val="nil"/>
            </w:tcBorders>
            <w:shd w:val="clear" w:color="000000" w:fill="C6E0B4"/>
            <w:noWrap/>
            <w:vAlign w:val="bottom"/>
            <w:hideMark/>
          </w:tcPr>
          <w:p w14:paraId="31FEBC23" w14:textId="1C111614"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 xml:space="preserve">Close </w:t>
            </w:r>
            <w:r w:rsidR="007D0ABE">
              <w:rPr>
                <w:rFonts w:ascii="Calibri" w:eastAsia="Times New Roman" w:hAnsi="Calibri" w:cs="Times New Roman"/>
                <w:color w:val="000000"/>
                <w:sz w:val="20"/>
                <w:szCs w:val="20"/>
              </w:rPr>
              <w:t>Proximity</w:t>
            </w:r>
            <w:r w:rsidRPr="00497593">
              <w:rPr>
                <w:rFonts w:ascii="Calibri" w:eastAsia="Times New Roman" w:hAnsi="Calibri" w:cs="Times New Roman"/>
                <w:color w:val="000000"/>
                <w:sz w:val="20"/>
                <w:szCs w:val="20"/>
              </w:rPr>
              <w:t xml:space="preserve"> 2</w:t>
            </w:r>
            <w:r w:rsidRPr="00497593">
              <w:rPr>
                <w:rFonts w:ascii="Calibri" w:eastAsia="Times New Roman" w:hAnsi="Calibri" w:cs="Times New Roman"/>
                <w:b/>
                <w:bCs/>
                <w:color w:val="000000"/>
                <w:sz w:val="20"/>
                <w:szCs w:val="20"/>
                <w:vertAlign w:val="superscript"/>
              </w:rPr>
              <w:t>e</w:t>
            </w:r>
          </w:p>
        </w:tc>
        <w:tc>
          <w:tcPr>
            <w:tcW w:w="2340" w:type="dxa"/>
            <w:gridSpan w:val="2"/>
            <w:tcBorders>
              <w:top w:val="nil"/>
              <w:left w:val="nil"/>
              <w:bottom w:val="nil"/>
              <w:right w:val="nil"/>
            </w:tcBorders>
            <w:shd w:val="clear" w:color="auto" w:fill="auto"/>
            <w:noWrap/>
            <w:vAlign w:val="center"/>
            <w:hideMark/>
          </w:tcPr>
          <w:p w14:paraId="14844DEE" w14:textId="77777777" w:rsidR="00497593" w:rsidRPr="00497593" w:rsidRDefault="00497593" w:rsidP="00497593">
            <w:pPr>
              <w:spacing w:after="0" w:line="240" w:lineRule="auto"/>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TOTAL</w:t>
            </w:r>
          </w:p>
        </w:tc>
        <w:tc>
          <w:tcPr>
            <w:tcW w:w="1170" w:type="dxa"/>
            <w:gridSpan w:val="2"/>
            <w:tcBorders>
              <w:top w:val="nil"/>
              <w:left w:val="nil"/>
              <w:bottom w:val="nil"/>
              <w:right w:val="nil"/>
            </w:tcBorders>
            <w:shd w:val="clear" w:color="auto" w:fill="auto"/>
            <w:noWrap/>
            <w:vAlign w:val="bottom"/>
            <w:hideMark/>
          </w:tcPr>
          <w:p w14:paraId="32AE5451"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696</w:t>
            </w:r>
          </w:p>
        </w:tc>
        <w:tc>
          <w:tcPr>
            <w:tcW w:w="1260" w:type="dxa"/>
            <w:gridSpan w:val="2"/>
            <w:tcBorders>
              <w:top w:val="nil"/>
              <w:left w:val="nil"/>
              <w:bottom w:val="nil"/>
              <w:right w:val="nil"/>
            </w:tcBorders>
            <w:shd w:val="clear" w:color="auto" w:fill="auto"/>
            <w:noWrap/>
            <w:vAlign w:val="bottom"/>
            <w:hideMark/>
          </w:tcPr>
          <w:p w14:paraId="64E56B62"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100.0</w:t>
            </w:r>
          </w:p>
        </w:tc>
        <w:tc>
          <w:tcPr>
            <w:tcW w:w="1260" w:type="dxa"/>
            <w:gridSpan w:val="2"/>
            <w:tcBorders>
              <w:top w:val="nil"/>
              <w:left w:val="nil"/>
              <w:bottom w:val="nil"/>
              <w:right w:val="nil"/>
            </w:tcBorders>
            <w:shd w:val="clear" w:color="auto" w:fill="auto"/>
            <w:noWrap/>
            <w:vAlign w:val="bottom"/>
            <w:hideMark/>
          </w:tcPr>
          <w:p w14:paraId="50558523"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132,324,596</w:t>
            </w:r>
          </w:p>
        </w:tc>
        <w:tc>
          <w:tcPr>
            <w:tcW w:w="1120" w:type="dxa"/>
            <w:tcBorders>
              <w:top w:val="nil"/>
              <w:left w:val="nil"/>
              <w:bottom w:val="nil"/>
              <w:right w:val="nil"/>
            </w:tcBorders>
            <w:shd w:val="clear" w:color="auto" w:fill="auto"/>
            <w:noWrap/>
            <w:vAlign w:val="bottom"/>
            <w:hideMark/>
          </w:tcPr>
          <w:p w14:paraId="7BE17730"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r w:rsidRPr="00497593">
              <w:rPr>
                <w:rFonts w:ascii="Calibri" w:eastAsia="Times New Roman" w:hAnsi="Calibri" w:cs="Times New Roman"/>
                <w:color w:val="000000"/>
                <w:sz w:val="20"/>
                <w:szCs w:val="20"/>
              </w:rPr>
              <w:t>100.0</w:t>
            </w:r>
          </w:p>
        </w:tc>
      </w:tr>
      <w:tr w:rsidR="00497593" w:rsidRPr="00497593" w14:paraId="2815D874" w14:textId="77777777" w:rsidTr="00A2143C">
        <w:trPr>
          <w:trHeight w:val="334"/>
        </w:trPr>
        <w:tc>
          <w:tcPr>
            <w:tcW w:w="1890" w:type="dxa"/>
            <w:tcBorders>
              <w:top w:val="nil"/>
              <w:left w:val="nil"/>
              <w:bottom w:val="nil"/>
              <w:right w:val="nil"/>
            </w:tcBorders>
            <w:shd w:val="clear" w:color="auto" w:fill="auto"/>
            <w:noWrap/>
            <w:vAlign w:val="bottom"/>
            <w:hideMark/>
          </w:tcPr>
          <w:p w14:paraId="71BF8B77" w14:textId="77777777" w:rsidR="00497593" w:rsidRPr="00497593" w:rsidRDefault="00497593" w:rsidP="00497593">
            <w:pPr>
              <w:spacing w:after="0" w:line="240" w:lineRule="auto"/>
              <w:jc w:val="right"/>
              <w:rPr>
                <w:rFonts w:ascii="Calibri" w:eastAsia="Times New Roman" w:hAnsi="Calibri" w:cs="Times New Roman"/>
                <w:color w:val="000000"/>
                <w:sz w:val="20"/>
                <w:szCs w:val="20"/>
              </w:rPr>
            </w:pPr>
          </w:p>
        </w:tc>
        <w:tc>
          <w:tcPr>
            <w:tcW w:w="2148" w:type="dxa"/>
            <w:tcBorders>
              <w:top w:val="nil"/>
              <w:left w:val="nil"/>
              <w:bottom w:val="nil"/>
              <w:right w:val="nil"/>
            </w:tcBorders>
            <w:shd w:val="clear" w:color="auto" w:fill="auto"/>
            <w:noWrap/>
            <w:vAlign w:val="bottom"/>
            <w:hideMark/>
          </w:tcPr>
          <w:p w14:paraId="5C564047" w14:textId="77777777" w:rsidR="00497593" w:rsidRPr="00497593" w:rsidRDefault="00497593" w:rsidP="00497593">
            <w:pPr>
              <w:spacing w:after="0" w:line="240" w:lineRule="auto"/>
              <w:rPr>
                <w:rFonts w:ascii="Times New Roman" w:eastAsia="Times New Roman" w:hAnsi="Times New Roman" w:cs="Times New Roman"/>
                <w:sz w:val="20"/>
                <w:szCs w:val="20"/>
              </w:rPr>
            </w:pPr>
          </w:p>
        </w:tc>
        <w:tc>
          <w:tcPr>
            <w:tcW w:w="1260" w:type="dxa"/>
            <w:gridSpan w:val="2"/>
            <w:tcBorders>
              <w:top w:val="nil"/>
              <w:left w:val="nil"/>
              <w:bottom w:val="nil"/>
              <w:right w:val="nil"/>
            </w:tcBorders>
            <w:shd w:val="clear" w:color="auto" w:fill="auto"/>
            <w:noWrap/>
            <w:vAlign w:val="bottom"/>
            <w:hideMark/>
          </w:tcPr>
          <w:p w14:paraId="73ECBAEF" w14:textId="77777777" w:rsidR="00497593" w:rsidRPr="00497593" w:rsidRDefault="00497593" w:rsidP="00497593">
            <w:pPr>
              <w:spacing w:after="0" w:line="240" w:lineRule="auto"/>
              <w:rPr>
                <w:rFonts w:ascii="Times New Roman" w:eastAsia="Times New Roman" w:hAnsi="Times New Roman" w:cs="Times New Roman"/>
                <w:sz w:val="20"/>
                <w:szCs w:val="20"/>
              </w:rPr>
            </w:pPr>
          </w:p>
        </w:tc>
        <w:tc>
          <w:tcPr>
            <w:tcW w:w="1252" w:type="dxa"/>
            <w:gridSpan w:val="2"/>
            <w:tcBorders>
              <w:top w:val="nil"/>
              <w:left w:val="nil"/>
              <w:bottom w:val="nil"/>
              <w:right w:val="nil"/>
            </w:tcBorders>
            <w:shd w:val="clear" w:color="auto" w:fill="auto"/>
            <w:noWrap/>
            <w:vAlign w:val="bottom"/>
            <w:hideMark/>
          </w:tcPr>
          <w:p w14:paraId="5BCC462E" w14:textId="77777777" w:rsidR="00497593" w:rsidRPr="00497593" w:rsidRDefault="00497593" w:rsidP="00497593">
            <w:pPr>
              <w:spacing w:after="0" w:line="240" w:lineRule="auto"/>
              <w:rPr>
                <w:rFonts w:ascii="Times New Roman" w:eastAsia="Times New Roman" w:hAnsi="Times New Roman" w:cs="Times New Roman"/>
                <w:sz w:val="20"/>
                <w:szCs w:val="20"/>
              </w:rPr>
            </w:pPr>
          </w:p>
        </w:tc>
        <w:tc>
          <w:tcPr>
            <w:tcW w:w="1278" w:type="dxa"/>
            <w:gridSpan w:val="2"/>
            <w:tcBorders>
              <w:top w:val="nil"/>
              <w:left w:val="nil"/>
              <w:bottom w:val="nil"/>
              <w:right w:val="nil"/>
            </w:tcBorders>
            <w:shd w:val="clear" w:color="auto" w:fill="auto"/>
            <w:noWrap/>
            <w:vAlign w:val="bottom"/>
            <w:hideMark/>
          </w:tcPr>
          <w:p w14:paraId="46AD2728" w14:textId="77777777" w:rsidR="00497593" w:rsidRPr="00497593" w:rsidRDefault="00497593" w:rsidP="00497593">
            <w:pPr>
              <w:spacing w:after="0" w:line="240" w:lineRule="auto"/>
              <w:rPr>
                <w:rFonts w:ascii="Times New Roman" w:eastAsia="Times New Roman" w:hAnsi="Times New Roman" w:cs="Times New Roman"/>
                <w:sz w:val="20"/>
                <w:szCs w:val="20"/>
              </w:rPr>
            </w:pPr>
          </w:p>
        </w:tc>
        <w:tc>
          <w:tcPr>
            <w:tcW w:w="1212" w:type="dxa"/>
            <w:gridSpan w:val="2"/>
            <w:tcBorders>
              <w:top w:val="nil"/>
              <w:left w:val="nil"/>
              <w:bottom w:val="nil"/>
              <w:right w:val="nil"/>
            </w:tcBorders>
            <w:shd w:val="clear" w:color="auto" w:fill="auto"/>
            <w:noWrap/>
            <w:vAlign w:val="bottom"/>
            <w:hideMark/>
          </w:tcPr>
          <w:p w14:paraId="7BC3F834" w14:textId="77777777" w:rsidR="00497593" w:rsidRPr="00497593" w:rsidRDefault="00497593" w:rsidP="00497593">
            <w:pPr>
              <w:spacing w:after="0" w:line="240" w:lineRule="auto"/>
              <w:rPr>
                <w:rFonts w:ascii="Times New Roman" w:eastAsia="Times New Roman" w:hAnsi="Times New Roman" w:cs="Times New Roman"/>
                <w:sz w:val="20"/>
                <w:szCs w:val="20"/>
              </w:rPr>
            </w:pPr>
          </w:p>
        </w:tc>
      </w:tr>
      <w:tr w:rsidR="00497593" w:rsidRPr="00497593" w14:paraId="1EBF582B" w14:textId="77777777" w:rsidTr="00A2143C">
        <w:trPr>
          <w:trHeight w:val="80"/>
        </w:trPr>
        <w:tc>
          <w:tcPr>
            <w:tcW w:w="7828" w:type="dxa"/>
            <w:gridSpan w:val="8"/>
            <w:tcBorders>
              <w:top w:val="nil"/>
              <w:left w:val="nil"/>
              <w:bottom w:val="nil"/>
              <w:right w:val="nil"/>
            </w:tcBorders>
            <w:shd w:val="clear" w:color="auto" w:fill="auto"/>
            <w:noWrap/>
            <w:vAlign w:val="center"/>
            <w:hideMark/>
          </w:tcPr>
          <w:p w14:paraId="691DB3D4" w14:textId="449B77B1" w:rsidR="00497593" w:rsidRPr="00497593" w:rsidRDefault="00497593" w:rsidP="00497593">
            <w:pPr>
              <w:spacing w:after="0" w:line="240" w:lineRule="auto"/>
              <w:rPr>
                <w:rFonts w:ascii="Calibri (Body)" w:eastAsia="Times New Roman" w:hAnsi="Calibri (Body)" w:cs="Times New Roman"/>
                <w:color w:val="000000"/>
                <w:sz w:val="18"/>
                <w:szCs w:val="18"/>
              </w:rPr>
            </w:pPr>
            <w:r w:rsidRPr="00497593">
              <w:rPr>
                <w:rFonts w:ascii="Calibri (Body)" w:eastAsia="Times New Roman" w:hAnsi="Calibri (Body)" w:cs="Times New Roman"/>
                <w:color w:val="000000"/>
                <w:sz w:val="18"/>
                <w:szCs w:val="18"/>
                <w:vertAlign w:val="superscript"/>
              </w:rPr>
              <w:t>a.</w:t>
            </w:r>
            <w:r w:rsidRPr="00497593">
              <w:rPr>
                <w:rFonts w:ascii="Calibri (Body)" w:eastAsia="Times New Roman" w:hAnsi="Calibri (Body)" w:cs="Times New Roman"/>
                <w:color w:val="000000"/>
                <w:sz w:val="18"/>
                <w:szCs w:val="18"/>
                <w:vertAlign w:val="subscript"/>
              </w:rPr>
              <w:t xml:space="preserve">  </w:t>
            </w:r>
            <w:r w:rsidRPr="00497593">
              <w:rPr>
                <w:rFonts w:ascii="Calibri (Body)" w:eastAsia="Times New Roman" w:hAnsi="Calibri (Body)" w:cs="Times New Roman"/>
                <w:color w:val="000000"/>
                <w:sz w:val="18"/>
                <w:szCs w:val="18"/>
              </w:rPr>
              <w:t>SOC (2010) 6-digit. Excludes 47 SOC occupations for which O*NET does not collect data.</w:t>
            </w:r>
          </w:p>
        </w:tc>
        <w:tc>
          <w:tcPr>
            <w:tcW w:w="1212" w:type="dxa"/>
            <w:gridSpan w:val="2"/>
            <w:tcBorders>
              <w:top w:val="nil"/>
              <w:left w:val="nil"/>
              <w:bottom w:val="nil"/>
              <w:right w:val="nil"/>
            </w:tcBorders>
            <w:shd w:val="clear" w:color="auto" w:fill="auto"/>
            <w:noWrap/>
            <w:vAlign w:val="bottom"/>
            <w:hideMark/>
          </w:tcPr>
          <w:p w14:paraId="3388B61D" w14:textId="77777777" w:rsidR="00497593" w:rsidRPr="00497593" w:rsidRDefault="00497593" w:rsidP="00497593">
            <w:pPr>
              <w:spacing w:after="0" w:line="240" w:lineRule="auto"/>
              <w:rPr>
                <w:rFonts w:ascii="Calibri (Body)" w:eastAsia="Times New Roman" w:hAnsi="Calibri (Body)" w:cs="Times New Roman"/>
                <w:color w:val="000000"/>
                <w:sz w:val="18"/>
                <w:szCs w:val="18"/>
              </w:rPr>
            </w:pPr>
          </w:p>
        </w:tc>
      </w:tr>
      <w:tr w:rsidR="00497593" w:rsidRPr="00497593" w14:paraId="5C9C8CE0" w14:textId="77777777" w:rsidTr="00A2143C">
        <w:trPr>
          <w:trHeight w:val="334"/>
        </w:trPr>
        <w:tc>
          <w:tcPr>
            <w:tcW w:w="9040" w:type="dxa"/>
            <w:gridSpan w:val="10"/>
            <w:tcBorders>
              <w:top w:val="nil"/>
              <w:left w:val="nil"/>
              <w:bottom w:val="nil"/>
              <w:right w:val="nil"/>
            </w:tcBorders>
            <w:shd w:val="clear" w:color="auto" w:fill="auto"/>
            <w:noWrap/>
            <w:vAlign w:val="bottom"/>
            <w:hideMark/>
          </w:tcPr>
          <w:p w14:paraId="2DA63719" w14:textId="77777777" w:rsidR="00497593" w:rsidRPr="00497593" w:rsidRDefault="00497593" w:rsidP="00497593">
            <w:pPr>
              <w:spacing w:after="0" w:line="240" w:lineRule="auto"/>
              <w:rPr>
                <w:rFonts w:ascii="Calibri (Body)" w:eastAsia="Times New Roman" w:hAnsi="Calibri (Body)" w:cs="Times New Roman"/>
                <w:color w:val="000000"/>
                <w:sz w:val="18"/>
                <w:szCs w:val="18"/>
              </w:rPr>
            </w:pPr>
            <w:r w:rsidRPr="00497593">
              <w:rPr>
                <w:rFonts w:ascii="Calibri (Body)" w:eastAsia="Times New Roman" w:hAnsi="Calibri (Body)" w:cs="Times New Roman"/>
                <w:color w:val="000000"/>
                <w:sz w:val="18"/>
                <w:szCs w:val="18"/>
                <w:vertAlign w:val="superscript"/>
              </w:rPr>
              <w:t>b.</w:t>
            </w:r>
            <w:r w:rsidRPr="00497593">
              <w:rPr>
                <w:rFonts w:ascii="Calibri (Body)" w:eastAsia="Times New Roman" w:hAnsi="Calibri (Body)" w:cs="Times New Roman"/>
                <w:color w:val="000000"/>
                <w:sz w:val="18"/>
                <w:szCs w:val="18"/>
              </w:rPr>
              <w:t xml:space="preserve"> BLS Occupational Employment Statistics, national estimates, 2019. Excludes self-employed and workers on farms. </w:t>
            </w:r>
          </w:p>
        </w:tc>
      </w:tr>
      <w:tr w:rsidR="00497593" w:rsidRPr="00497593" w14:paraId="3E4B0C3A" w14:textId="77777777" w:rsidTr="00A2143C">
        <w:trPr>
          <w:trHeight w:val="334"/>
        </w:trPr>
        <w:tc>
          <w:tcPr>
            <w:tcW w:w="7828" w:type="dxa"/>
            <w:gridSpan w:val="8"/>
            <w:tcBorders>
              <w:top w:val="nil"/>
              <w:left w:val="nil"/>
              <w:bottom w:val="nil"/>
              <w:right w:val="nil"/>
            </w:tcBorders>
            <w:shd w:val="clear" w:color="auto" w:fill="auto"/>
            <w:noWrap/>
            <w:vAlign w:val="bottom"/>
            <w:hideMark/>
          </w:tcPr>
          <w:p w14:paraId="7CD5628F" w14:textId="77777777" w:rsidR="00497593" w:rsidRPr="00497593" w:rsidRDefault="00497593" w:rsidP="00497593">
            <w:pPr>
              <w:spacing w:after="0" w:line="240" w:lineRule="auto"/>
              <w:rPr>
                <w:rFonts w:ascii="Calibri (Body)" w:eastAsia="Times New Roman" w:hAnsi="Calibri (Body)" w:cs="Times New Roman"/>
                <w:color w:val="000000"/>
                <w:sz w:val="18"/>
                <w:szCs w:val="18"/>
              </w:rPr>
            </w:pPr>
            <w:r w:rsidRPr="00497593">
              <w:rPr>
                <w:rFonts w:ascii="Calibri (Body)" w:eastAsia="Times New Roman" w:hAnsi="Calibri (Body)" w:cs="Times New Roman"/>
                <w:color w:val="000000"/>
                <w:sz w:val="18"/>
                <w:szCs w:val="18"/>
                <w:vertAlign w:val="superscript"/>
              </w:rPr>
              <w:t xml:space="preserve">c. </w:t>
            </w:r>
            <w:r w:rsidRPr="00497593">
              <w:rPr>
                <w:rFonts w:ascii="Calibri (Body)" w:eastAsia="Times New Roman" w:hAnsi="Calibri (Body)" w:cs="Times New Roman"/>
                <w:color w:val="000000"/>
                <w:sz w:val="18"/>
                <w:szCs w:val="18"/>
              </w:rPr>
              <w:t xml:space="preserve">Not public facing includes occupations for which public facing could not be determined. </w:t>
            </w:r>
          </w:p>
        </w:tc>
        <w:tc>
          <w:tcPr>
            <w:tcW w:w="1212" w:type="dxa"/>
            <w:gridSpan w:val="2"/>
            <w:tcBorders>
              <w:top w:val="nil"/>
              <w:left w:val="nil"/>
              <w:bottom w:val="nil"/>
              <w:right w:val="nil"/>
            </w:tcBorders>
            <w:shd w:val="clear" w:color="auto" w:fill="auto"/>
            <w:noWrap/>
            <w:vAlign w:val="bottom"/>
            <w:hideMark/>
          </w:tcPr>
          <w:p w14:paraId="21330B73" w14:textId="77777777" w:rsidR="00497593" w:rsidRPr="00497593" w:rsidRDefault="00497593" w:rsidP="00497593">
            <w:pPr>
              <w:spacing w:after="0" w:line="240" w:lineRule="auto"/>
              <w:rPr>
                <w:rFonts w:ascii="Calibri (Body)" w:eastAsia="Times New Roman" w:hAnsi="Calibri (Body)" w:cs="Times New Roman"/>
                <w:color w:val="000000"/>
                <w:sz w:val="18"/>
                <w:szCs w:val="18"/>
              </w:rPr>
            </w:pPr>
          </w:p>
        </w:tc>
      </w:tr>
      <w:tr w:rsidR="00497593" w:rsidRPr="00497593" w14:paraId="2A96FBFA" w14:textId="77777777" w:rsidTr="00A2143C">
        <w:trPr>
          <w:trHeight w:val="334"/>
        </w:trPr>
        <w:tc>
          <w:tcPr>
            <w:tcW w:w="7828" w:type="dxa"/>
            <w:gridSpan w:val="8"/>
            <w:tcBorders>
              <w:top w:val="nil"/>
              <w:left w:val="nil"/>
              <w:bottom w:val="nil"/>
              <w:right w:val="nil"/>
            </w:tcBorders>
            <w:shd w:val="clear" w:color="auto" w:fill="auto"/>
            <w:noWrap/>
            <w:vAlign w:val="center"/>
            <w:hideMark/>
          </w:tcPr>
          <w:p w14:paraId="6020D18E" w14:textId="77777777" w:rsidR="00497593" w:rsidRPr="00497593" w:rsidRDefault="00497593" w:rsidP="00497593">
            <w:pPr>
              <w:spacing w:after="0" w:line="240" w:lineRule="auto"/>
              <w:rPr>
                <w:rFonts w:ascii="Calibri (Body)" w:eastAsia="Times New Roman" w:hAnsi="Calibri (Body)" w:cs="Times New Roman"/>
                <w:color w:val="000000"/>
                <w:sz w:val="18"/>
                <w:szCs w:val="18"/>
              </w:rPr>
            </w:pPr>
            <w:r w:rsidRPr="00497593">
              <w:rPr>
                <w:rFonts w:ascii="Calibri (Body)" w:eastAsia="Times New Roman" w:hAnsi="Calibri (Body)" w:cs="Times New Roman"/>
                <w:color w:val="000000"/>
                <w:sz w:val="18"/>
                <w:szCs w:val="18"/>
                <w:vertAlign w:val="superscript"/>
              </w:rPr>
              <w:t>d.</w:t>
            </w:r>
            <w:r w:rsidRPr="00497593">
              <w:rPr>
                <w:rFonts w:ascii="Calibri (Body)" w:eastAsia="Times New Roman" w:hAnsi="Calibri (Body)" w:cs="Times New Roman"/>
                <w:color w:val="000000"/>
                <w:sz w:val="18"/>
                <w:szCs w:val="18"/>
              </w:rPr>
              <w:t xml:space="preserve"> Based on O*NET scores </w:t>
            </w:r>
            <w:proofErr w:type="spellStart"/>
            <w:r w:rsidRPr="00497593">
              <w:rPr>
                <w:rFonts w:ascii="Calibri (Body)" w:eastAsia="Times New Roman" w:hAnsi="Calibri (Body)" w:cs="Times New Roman"/>
                <w:color w:val="000000"/>
                <w:sz w:val="18"/>
                <w:szCs w:val="18"/>
              </w:rPr>
              <w:t>only.</w:t>
            </w:r>
            <w:r w:rsidRPr="00497593">
              <w:rPr>
                <w:rFonts w:ascii="Calibri (Body)" w:eastAsia="Times New Roman" w:hAnsi="Calibri (Body)" w:cs="Times New Roman"/>
                <w:color w:val="000000"/>
                <w:sz w:val="18"/>
                <w:szCs w:val="18"/>
                <w:vertAlign w:val="superscript"/>
              </w:rPr>
              <w:t>e</w:t>
            </w:r>
            <w:proofErr w:type="spellEnd"/>
            <w:r w:rsidRPr="00497593">
              <w:rPr>
                <w:rFonts w:ascii="Calibri (Body)" w:eastAsia="Times New Roman" w:hAnsi="Calibri (Body)" w:cs="Times New Roman"/>
                <w:color w:val="000000"/>
                <w:sz w:val="18"/>
                <w:szCs w:val="18"/>
                <w:vertAlign w:val="superscript"/>
              </w:rPr>
              <w:t>.</w:t>
            </w:r>
            <w:r w:rsidRPr="00497593">
              <w:rPr>
                <w:rFonts w:ascii="Calibri (Body)" w:eastAsia="Times New Roman" w:hAnsi="Calibri (Body)" w:cs="Times New Roman"/>
                <w:color w:val="000000"/>
                <w:sz w:val="18"/>
                <w:szCs w:val="18"/>
              </w:rPr>
              <w:t xml:space="preserve"> Based on O*NET scores and expert review. </w:t>
            </w:r>
          </w:p>
        </w:tc>
        <w:tc>
          <w:tcPr>
            <w:tcW w:w="1212" w:type="dxa"/>
            <w:gridSpan w:val="2"/>
            <w:tcBorders>
              <w:top w:val="nil"/>
              <w:left w:val="nil"/>
              <w:bottom w:val="nil"/>
              <w:right w:val="nil"/>
            </w:tcBorders>
            <w:shd w:val="clear" w:color="auto" w:fill="auto"/>
            <w:noWrap/>
            <w:vAlign w:val="bottom"/>
            <w:hideMark/>
          </w:tcPr>
          <w:p w14:paraId="66140F2C" w14:textId="77777777" w:rsidR="00497593" w:rsidRPr="00497593" w:rsidRDefault="00497593" w:rsidP="00497593">
            <w:pPr>
              <w:spacing w:after="0" w:line="240" w:lineRule="auto"/>
              <w:rPr>
                <w:rFonts w:ascii="Calibri (Body)" w:eastAsia="Times New Roman" w:hAnsi="Calibri (Body)" w:cs="Times New Roman"/>
                <w:color w:val="000000"/>
                <w:sz w:val="18"/>
                <w:szCs w:val="18"/>
              </w:rPr>
            </w:pPr>
          </w:p>
        </w:tc>
      </w:tr>
    </w:tbl>
    <w:p w14:paraId="43FE9929" w14:textId="6BFE8300" w:rsidR="003824FB" w:rsidRDefault="003824FB" w:rsidP="003824FB">
      <w:pPr>
        <w:rPr>
          <w:rFonts w:cstheme="majorHAnsi"/>
          <w:bCs/>
        </w:rPr>
      </w:pPr>
      <w:r w:rsidRPr="00DB6808">
        <w:rPr>
          <w:rFonts w:cstheme="majorHAnsi"/>
          <w:bCs/>
        </w:rPr>
        <w:t xml:space="preserve">Detailed methods including decision rules and modifications </w:t>
      </w:r>
      <w:r>
        <w:rPr>
          <w:rFonts w:cstheme="majorHAnsi"/>
          <w:bCs/>
        </w:rPr>
        <w:t>to O*N</w:t>
      </w:r>
      <w:r w:rsidR="00565E82">
        <w:rPr>
          <w:rFonts w:cstheme="majorHAnsi"/>
          <w:bCs/>
        </w:rPr>
        <w:t>ET</w:t>
      </w:r>
      <w:r>
        <w:rPr>
          <w:rFonts w:cstheme="majorHAnsi"/>
          <w:bCs/>
        </w:rPr>
        <w:t xml:space="preserve">-only based exposure levels </w:t>
      </w:r>
      <w:r w:rsidRPr="00DB6808">
        <w:rPr>
          <w:rFonts w:cstheme="majorHAnsi"/>
          <w:bCs/>
        </w:rPr>
        <w:t xml:space="preserve">are fully documented for each risk factor in a technical appendix to this document (Appendix 3). Methods for </w:t>
      </w:r>
      <w:r w:rsidRPr="003B2D3C">
        <w:rPr>
          <w:rFonts w:cstheme="majorHAnsi"/>
          <w:bCs/>
        </w:rPr>
        <w:t>converting findings for 8-digit</w:t>
      </w:r>
      <w:r w:rsidRPr="00DB6808">
        <w:rPr>
          <w:rFonts w:cstheme="majorHAnsi"/>
          <w:bCs/>
        </w:rPr>
        <w:t xml:space="preserve"> to 6-dig</w:t>
      </w:r>
      <w:r>
        <w:rPr>
          <w:rFonts w:cstheme="majorHAnsi"/>
          <w:bCs/>
        </w:rPr>
        <w:t>i</w:t>
      </w:r>
      <w:r w:rsidRPr="00DB6808">
        <w:rPr>
          <w:rFonts w:cstheme="majorHAnsi"/>
          <w:bCs/>
        </w:rPr>
        <w:t>t SOC and for 6-digit SOC to 4-digit COC are included in this appendix.</w:t>
      </w:r>
      <w:r>
        <w:rPr>
          <w:rFonts w:cstheme="majorHAnsi"/>
          <w:bCs/>
        </w:rPr>
        <w:t xml:space="preserve"> </w:t>
      </w:r>
    </w:p>
    <w:p w14:paraId="09A57D30" w14:textId="77777777" w:rsidR="0005195D" w:rsidRDefault="0005195D" w:rsidP="0085716A">
      <w:pPr>
        <w:rPr>
          <w:b/>
        </w:rPr>
      </w:pPr>
    </w:p>
    <w:p w14:paraId="6F3AA22D" w14:textId="3C364944" w:rsidR="0085716A" w:rsidRPr="0085716A" w:rsidRDefault="0085716A" w:rsidP="0085716A">
      <w:pPr>
        <w:rPr>
          <w:b/>
        </w:rPr>
      </w:pPr>
      <w:r>
        <w:rPr>
          <w:b/>
        </w:rPr>
        <w:t>S</w:t>
      </w:r>
      <w:r w:rsidRPr="002B6100">
        <w:rPr>
          <w:b/>
        </w:rPr>
        <w:t>ummary findings</w:t>
      </w:r>
    </w:p>
    <w:p w14:paraId="376C82F9" w14:textId="77777777" w:rsidR="0085716A" w:rsidRPr="002B6100" w:rsidRDefault="0085716A" w:rsidP="0085716A">
      <w:r w:rsidRPr="002B6100">
        <w:t>Of 6</w:t>
      </w:r>
      <w:r>
        <w:t>96</w:t>
      </w:r>
      <w:r w:rsidRPr="002B6100">
        <w:t xml:space="preserve"> </w:t>
      </w:r>
      <w:r>
        <w:t xml:space="preserve">non-HC </w:t>
      </w:r>
      <w:r w:rsidRPr="002B6100">
        <w:t xml:space="preserve">occupations considered: </w:t>
      </w:r>
    </w:p>
    <w:p w14:paraId="09B72BF2" w14:textId="430FED58" w:rsidR="0085716A" w:rsidRPr="0085716A" w:rsidRDefault="0085716A" w:rsidP="0085716A">
      <w:pPr>
        <w:pStyle w:val="ListParagraph"/>
        <w:numPr>
          <w:ilvl w:val="0"/>
          <w:numId w:val="3"/>
        </w:numPr>
        <w:rPr>
          <w:rFonts w:cs="Times New Roman"/>
        </w:rPr>
      </w:pPr>
      <w:r w:rsidRPr="002B6100">
        <w:rPr>
          <w:rFonts w:cs="Times New Roman"/>
        </w:rPr>
        <w:t xml:space="preserve">28% require routine in-person interaction with the public; an estimated </w:t>
      </w:r>
      <w:r>
        <w:rPr>
          <w:rFonts w:cs="Times New Roman"/>
        </w:rPr>
        <w:t>37</w:t>
      </w:r>
      <w:r w:rsidRPr="002B6100">
        <w:rPr>
          <w:rFonts w:cs="Times New Roman"/>
        </w:rPr>
        <w:t xml:space="preserve">% of the </w:t>
      </w:r>
      <w:r>
        <w:rPr>
          <w:rFonts w:cs="Times New Roman"/>
        </w:rPr>
        <w:t xml:space="preserve">U.S. non-HC </w:t>
      </w:r>
      <w:r w:rsidRPr="002B6100">
        <w:rPr>
          <w:rFonts w:cs="Times New Roman"/>
        </w:rPr>
        <w:t>workforce are employed in these occupations</w:t>
      </w:r>
      <w:r>
        <w:rPr>
          <w:rFonts w:cs="Times New Roman"/>
        </w:rPr>
        <w:t>.</w:t>
      </w:r>
    </w:p>
    <w:p w14:paraId="531D8DD9" w14:textId="77777777" w:rsidR="0085716A" w:rsidRPr="0085716A" w:rsidRDefault="0085716A" w:rsidP="0085716A">
      <w:pPr>
        <w:pStyle w:val="ListParagraph"/>
        <w:numPr>
          <w:ilvl w:val="0"/>
          <w:numId w:val="3"/>
        </w:numPr>
        <w:rPr>
          <w:rFonts w:cs="Times New Roman"/>
        </w:rPr>
      </w:pPr>
      <w:r w:rsidRPr="002B6100">
        <w:rPr>
          <w:rFonts w:cs="Times New Roman"/>
        </w:rPr>
        <w:t xml:space="preserve">69% require working primarily indoors; an estimated </w:t>
      </w:r>
      <w:r>
        <w:rPr>
          <w:rFonts w:cs="Times New Roman"/>
        </w:rPr>
        <w:t>79</w:t>
      </w:r>
      <w:r w:rsidRPr="002B6100">
        <w:rPr>
          <w:rFonts w:cs="Times New Roman"/>
        </w:rPr>
        <w:t>% of the U</w:t>
      </w:r>
      <w:r>
        <w:rPr>
          <w:rFonts w:cs="Times New Roman"/>
        </w:rPr>
        <w:t>.</w:t>
      </w:r>
      <w:r w:rsidRPr="002B6100">
        <w:rPr>
          <w:rFonts w:cs="Times New Roman"/>
        </w:rPr>
        <w:t>S</w:t>
      </w:r>
      <w:r>
        <w:rPr>
          <w:rFonts w:cs="Times New Roman"/>
        </w:rPr>
        <w:t>.</w:t>
      </w:r>
      <w:r w:rsidRPr="002B6100">
        <w:rPr>
          <w:rFonts w:cs="Times New Roman"/>
        </w:rPr>
        <w:t xml:space="preserve"> </w:t>
      </w:r>
      <w:r>
        <w:rPr>
          <w:rFonts w:cs="Times New Roman"/>
        </w:rPr>
        <w:t>non-HC</w:t>
      </w:r>
      <w:r w:rsidRPr="002B6100">
        <w:rPr>
          <w:rFonts w:cs="Times New Roman"/>
        </w:rPr>
        <w:t xml:space="preserve"> </w:t>
      </w:r>
      <w:r>
        <w:rPr>
          <w:rFonts w:cs="Times New Roman"/>
        </w:rPr>
        <w:t>workforce i</w:t>
      </w:r>
      <w:r w:rsidRPr="002B6100">
        <w:rPr>
          <w:rFonts w:cs="Times New Roman"/>
        </w:rPr>
        <w:t>s employed in these occupations. Less than 2% of the workforce works primarily outdoors.</w:t>
      </w:r>
    </w:p>
    <w:p w14:paraId="2FD79ABF" w14:textId="77777777" w:rsidR="0085716A" w:rsidRDefault="0085716A" w:rsidP="0085716A">
      <w:pPr>
        <w:pStyle w:val="ListParagraph"/>
        <w:numPr>
          <w:ilvl w:val="0"/>
          <w:numId w:val="3"/>
        </w:numPr>
        <w:rPr>
          <w:rFonts w:cs="Times New Roman"/>
        </w:rPr>
      </w:pPr>
      <w:r w:rsidRPr="002B6100">
        <w:rPr>
          <w:rFonts w:cs="Times New Roman"/>
        </w:rPr>
        <w:t>27%</w:t>
      </w:r>
      <w:r>
        <w:rPr>
          <w:rFonts w:cs="Times New Roman"/>
        </w:rPr>
        <w:t xml:space="preserve"> </w:t>
      </w:r>
      <w:r w:rsidRPr="002B6100">
        <w:rPr>
          <w:rFonts w:cs="Times New Roman"/>
        </w:rPr>
        <w:t>require working in very close proximity to others (</w:t>
      </w:r>
      <w:r w:rsidRPr="002164BF">
        <w:rPr>
          <w:rFonts w:cs="Times New Roman"/>
          <w:i/>
        </w:rPr>
        <w:t>Close Proximity Measure 1</w:t>
      </w:r>
      <w:r w:rsidRPr="002B6100">
        <w:rPr>
          <w:rFonts w:cs="Times New Roman"/>
        </w:rPr>
        <w:t xml:space="preserve">), defined as nearly arms distance or closer; an estimated 40% of the </w:t>
      </w:r>
      <w:r>
        <w:rPr>
          <w:rFonts w:cs="Times New Roman"/>
        </w:rPr>
        <w:t xml:space="preserve">U.S. non-HC </w:t>
      </w:r>
      <w:r w:rsidRPr="002B6100">
        <w:rPr>
          <w:rFonts w:cs="Times New Roman"/>
        </w:rPr>
        <w:t xml:space="preserve">workforce is employed in these occupations.  These figures increased to 44% and 61% respectively when </w:t>
      </w:r>
      <w:r w:rsidRPr="002164BF">
        <w:rPr>
          <w:rFonts w:cs="Times New Roman"/>
          <w:i/>
        </w:rPr>
        <w:t>Close Proximity Measure 2</w:t>
      </w:r>
      <w:r w:rsidRPr="002B6100">
        <w:rPr>
          <w:rFonts w:cs="Times New Roman"/>
        </w:rPr>
        <w:t xml:space="preserve"> - based on O*NET </w:t>
      </w:r>
      <w:r w:rsidRPr="002B6100">
        <w:rPr>
          <w:rFonts w:cs="Times New Roman"/>
          <w:i/>
        </w:rPr>
        <w:t>and</w:t>
      </w:r>
      <w:r w:rsidRPr="002B6100">
        <w:rPr>
          <w:rFonts w:cs="Times New Roman"/>
        </w:rPr>
        <w:t xml:space="preserve"> expert review - </w:t>
      </w:r>
      <w:r>
        <w:rPr>
          <w:rFonts w:cs="Times New Roman"/>
        </w:rPr>
        <w:t>was</w:t>
      </w:r>
      <w:r w:rsidRPr="002B6100">
        <w:rPr>
          <w:rFonts w:cs="Times New Roman"/>
        </w:rPr>
        <w:t xml:space="preserve"> used.</w:t>
      </w:r>
    </w:p>
    <w:p w14:paraId="5ACFB385" w14:textId="682E2022" w:rsidR="00B268EF" w:rsidRPr="0085716A" w:rsidRDefault="00106961" w:rsidP="0085716A">
      <w:pPr>
        <w:pStyle w:val="Heading2"/>
      </w:pPr>
      <w:r w:rsidRPr="00106961">
        <w:t xml:space="preserve">Section </w:t>
      </w:r>
      <w:r w:rsidR="008C23FC">
        <w:t>2</w:t>
      </w:r>
      <w:r w:rsidRPr="00106961">
        <w:t xml:space="preserve">. </w:t>
      </w:r>
      <w:r w:rsidR="00021D3D" w:rsidRPr="00106961">
        <w:t>Combining information about multiple risk factors into a single assessme</w:t>
      </w:r>
      <w:r w:rsidR="008C23FC">
        <w:t xml:space="preserve">nt of </w:t>
      </w:r>
      <w:r w:rsidR="00021D3D" w:rsidRPr="00106961">
        <w:t>exposure</w:t>
      </w:r>
    </w:p>
    <w:p w14:paraId="20D5D326" w14:textId="19ABEB2A" w:rsidR="00BA10E8" w:rsidRDefault="003F6BB3" w:rsidP="00BA10E8">
      <w:pPr>
        <w:rPr>
          <w:rFonts w:cstheme="minorHAnsi"/>
        </w:rPr>
      </w:pPr>
      <w:r>
        <w:rPr>
          <w:rFonts w:cstheme="minorHAnsi"/>
        </w:rPr>
        <w:t xml:space="preserve">In this section, we </w:t>
      </w:r>
      <w:r w:rsidR="008321E8">
        <w:rPr>
          <w:rFonts w:cstheme="minorHAnsi"/>
        </w:rPr>
        <w:t>address</w:t>
      </w:r>
      <w:r w:rsidR="007F5CD1" w:rsidRPr="005F4CC4">
        <w:rPr>
          <w:rFonts w:cstheme="minorHAnsi"/>
        </w:rPr>
        <w:t xml:space="preserve"> combining information on the three workplace risk factors to derive a summary assessment of </w:t>
      </w:r>
      <w:r w:rsidR="00290CF5" w:rsidRPr="005F4CC4">
        <w:rPr>
          <w:rFonts w:cstheme="minorHAnsi"/>
        </w:rPr>
        <w:t xml:space="preserve">potential </w:t>
      </w:r>
      <w:r w:rsidR="007F5CD1" w:rsidRPr="005F4CC4">
        <w:rPr>
          <w:rFonts w:cstheme="minorHAnsi"/>
        </w:rPr>
        <w:t>exposure to SARS-CoV-2 for each occupation</w:t>
      </w:r>
      <w:r w:rsidR="00962086">
        <w:rPr>
          <w:rFonts w:cstheme="minorHAnsi"/>
        </w:rPr>
        <w:t xml:space="preserve"> and present one </w:t>
      </w:r>
      <w:r w:rsidR="00962086" w:rsidRPr="00B90853">
        <w:rPr>
          <w:rFonts w:cstheme="minorHAnsi"/>
        </w:rPr>
        <w:t>approach</w:t>
      </w:r>
      <w:r w:rsidR="00B90853" w:rsidRPr="00B90853">
        <w:rPr>
          <w:rFonts w:cstheme="minorHAnsi"/>
        </w:rPr>
        <w:t>.</w:t>
      </w:r>
      <w:r w:rsidR="00B90853">
        <w:rPr>
          <w:rFonts w:cstheme="minorHAnsi"/>
        </w:rPr>
        <w:t xml:space="preserve">  </w:t>
      </w:r>
      <w:r w:rsidR="007F5CD1" w:rsidRPr="00B90853">
        <w:rPr>
          <w:rFonts w:cstheme="minorHAnsi"/>
        </w:rPr>
        <w:t>Given</w:t>
      </w:r>
      <w:r w:rsidR="007F5CD1" w:rsidRPr="002B0903">
        <w:rPr>
          <w:rFonts w:cstheme="minorHAnsi"/>
        </w:rPr>
        <w:t xml:space="preserve"> two 4-level </w:t>
      </w:r>
      <w:r w:rsidR="00290CF5" w:rsidRPr="002B0903">
        <w:rPr>
          <w:rFonts w:cstheme="minorHAnsi"/>
        </w:rPr>
        <w:t xml:space="preserve">exposure </w:t>
      </w:r>
      <w:r w:rsidR="007F5CD1" w:rsidRPr="002B0903">
        <w:rPr>
          <w:rFonts w:cstheme="minorHAnsi"/>
        </w:rPr>
        <w:t xml:space="preserve">measures and one 2-level </w:t>
      </w:r>
      <w:r w:rsidR="00290CF5" w:rsidRPr="002B0903">
        <w:rPr>
          <w:rFonts w:cstheme="minorHAnsi"/>
        </w:rPr>
        <w:t>exposure measure</w:t>
      </w:r>
      <w:r w:rsidR="00E14144" w:rsidRPr="002B0903">
        <w:rPr>
          <w:rFonts w:cstheme="minorHAnsi"/>
        </w:rPr>
        <w:t>,</w:t>
      </w:r>
      <w:r w:rsidR="00A31D3E" w:rsidRPr="002B0903">
        <w:rPr>
          <w:rFonts w:cstheme="minorHAnsi"/>
        </w:rPr>
        <w:t xml:space="preserve"> </w:t>
      </w:r>
      <w:r w:rsidR="007F5CD1" w:rsidRPr="002B0903">
        <w:rPr>
          <w:rFonts w:cstheme="minorHAnsi"/>
        </w:rPr>
        <w:t xml:space="preserve">there are 32 possible (4X4X2) combinations of </w:t>
      </w:r>
      <w:r w:rsidR="00290CF5" w:rsidRPr="002B0903">
        <w:rPr>
          <w:rFonts w:cstheme="minorHAnsi"/>
        </w:rPr>
        <w:t xml:space="preserve">exposure levels into which an occupation </w:t>
      </w:r>
      <w:r w:rsidR="00290CF5" w:rsidRPr="00B268EF">
        <w:rPr>
          <w:rFonts w:cstheme="minorHAnsi"/>
        </w:rPr>
        <w:t>may fall.</w:t>
      </w:r>
      <w:r w:rsidR="00290CF5" w:rsidRPr="005F4CC4">
        <w:rPr>
          <w:rFonts w:cstheme="minorHAnsi"/>
        </w:rPr>
        <w:t xml:space="preserve"> </w:t>
      </w:r>
      <w:r w:rsidR="007F5CD1" w:rsidRPr="005F4CC4">
        <w:rPr>
          <w:rFonts w:cstheme="minorHAnsi"/>
        </w:rPr>
        <w:t xml:space="preserve"> </w:t>
      </w:r>
      <w:r w:rsidR="008321E8">
        <w:rPr>
          <w:rFonts w:cstheme="minorHAnsi"/>
        </w:rPr>
        <w:t xml:space="preserve">These combinations range from the highest </w:t>
      </w:r>
      <w:r w:rsidR="00814B80" w:rsidRPr="00814B80">
        <w:rPr>
          <w:rFonts w:cstheme="minorHAnsi"/>
          <w:i/>
        </w:rPr>
        <w:t>C</w:t>
      </w:r>
      <w:r w:rsidR="008321E8" w:rsidRPr="00814B80">
        <w:rPr>
          <w:rFonts w:cstheme="minorHAnsi"/>
          <w:i/>
        </w:rPr>
        <w:t xml:space="preserve">ombined </w:t>
      </w:r>
      <w:r w:rsidR="00814B80" w:rsidRPr="00814B80">
        <w:rPr>
          <w:rFonts w:cstheme="minorHAnsi"/>
          <w:i/>
        </w:rPr>
        <w:t>E</w:t>
      </w:r>
      <w:r w:rsidR="008321E8" w:rsidRPr="00814B80">
        <w:rPr>
          <w:rFonts w:cstheme="minorHAnsi"/>
          <w:i/>
        </w:rPr>
        <w:t xml:space="preserve">xposure </w:t>
      </w:r>
      <w:r w:rsidR="00814B80" w:rsidRPr="00814B80">
        <w:rPr>
          <w:rFonts w:cstheme="minorHAnsi"/>
          <w:i/>
        </w:rPr>
        <w:t>C</w:t>
      </w:r>
      <w:r w:rsidR="008321E8" w:rsidRPr="00814B80">
        <w:rPr>
          <w:rFonts w:cstheme="minorHAnsi"/>
          <w:i/>
        </w:rPr>
        <w:t>ategory</w:t>
      </w:r>
      <w:r w:rsidR="008321E8">
        <w:rPr>
          <w:rFonts w:cstheme="minorHAnsi"/>
        </w:rPr>
        <w:t xml:space="preserve"> (Public facing</w:t>
      </w:r>
      <w:r w:rsidR="00B268EF">
        <w:rPr>
          <w:rFonts w:cstheme="minorHAnsi"/>
        </w:rPr>
        <w:t>,</w:t>
      </w:r>
      <w:r w:rsidR="008321E8">
        <w:rPr>
          <w:rFonts w:cstheme="minorHAnsi"/>
        </w:rPr>
        <w:t xml:space="preserve"> Primarily </w:t>
      </w:r>
      <w:r w:rsidR="00941A65">
        <w:rPr>
          <w:rFonts w:cstheme="minorHAnsi"/>
        </w:rPr>
        <w:t>I</w:t>
      </w:r>
      <w:r w:rsidR="008321E8">
        <w:rPr>
          <w:rFonts w:cstheme="minorHAnsi"/>
        </w:rPr>
        <w:t xml:space="preserve">ndoors </w:t>
      </w:r>
      <w:r w:rsidR="007A6669">
        <w:rPr>
          <w:rFonts w:cstheme="minorHAnsi"/>
        </w:rPr>
        <w:t>AND</w:t>
      </w:r>
      <w:r w:rsidR="008321E8">
        <w:rPr>
          <w:rFonts w:cstheme="minorHAnsi"/>
        </w:rPr>
        <w:t xml:space="preserve"> Very Close Prox</w:t>
      </w:r>
      <w:r w:rsidR="0094188B">
        <w:rPr>
          <w:rFonts w:cstheme="minorHAnsi"/>
        </w:rPr>
        <w:t>i</w:t>
      </w:r>
      <w:r w:rsidR="008321E8">
        <w:rPr>
          <w:rFonts w:cstheme="minorHAnsi"/>
        </w:rPr>
        <w:t>mity)</w:t>
      </w:r>
      <w:r w:rsidR="0073095C">
        <w:rPr>
          <w:rFonts w:cstheme="minorHAnsi"/>
        </w:rPr>
        <w:t xml:space="preserve"> </w:t>
      </w:r>
      <w:r w:rsidR="008321E8">
        <w:rPr>
          <w:rFonts w:cstheme="minorHAnsi"/>
        </w:rPr>
        <w:t xml:space="preserve">to the lowest (Not </w:t>
      </w:r>
      <w:r w:rsidR="00814B80">
        <w:rPr>
          <w:rFonts w:cstheme="minorHAnsi"/>
        </w:rPr>
        <w:t>P</w:t>
      </w:r>
      <w:r w:rsidR="008321E8">
        <w:rPr>
          <w:rFonts w:cstheme="minorHAnsi"/>
        </w:rPr>
        <w:t xml:space="preserve">ublic </w:t>
      </w:r>
      <w:r w:rsidR="00814B80">
        <w:rPr>
          <w:rFonts w:cstheme="minorHAnsi"/>
        </w:rPr>
        <w:t>F</w:t>
      </w:r>
      <w:r w:rsidR="008321E8">
        <w:rPr>
          <w:rFonts w:cstheme="minorHAnsi"/>
        </w:rPr>
        <w:t>acing,</w:t>
      </w:r>
      <w:r w:rsidR="008C3F40">
        <w:rPr>
          <w:rFonts w:cstheme="minorHAnsi"/>
        </w:rPr>
        <w:t xml:space="preserve"> </w:t>
      </w:r>
      <w:r w:rsidR="008321E8">
        <w:rPr>
          <w:rFonts w:cstheme="minorHAnsi"/>
        </w:rPr>
        <w:t xml:space="preserve">Primarily Outdoors </w:t>
      </w:r>
      <w:r w:rsidR="008C3F40">
        <w:rPr>
          <w:rFonts w:cstheme="minorHAnsi"/>
        </w:rPr>
        <w:t>AND</w:t>
      </w:r>
      <w:r w:rsidR="008321E8">
        <w:rPr>
          <w:rFonts w:cstheme="minorHAnsi"/>
        </w:rPr>
        <w:t xml:space="preserve"> Not </w:t>
      </w:r>
      <w:r w:rsidR="00814B80">
        <w:rPr>
          <w:rFonts w:cstheme="minorHAnsi"/>
        </w:rPr>
        <w:t>C</w:t>
      </w:r>
      <w:r w:rsidR="008321E8">
        <w:rPr>
          <w:rFonts w:cstheme="minorHAnsi"/>
        </w:rPr>
        <w:t xml:space="preserve">lose </w:t>
      </w:r>
      <w:r w:rsidR="00814B80">
        <w:rPr>
          <w:rFonts w:cstheme="minorHAnsi"/>
        </w:rPr>
        <w:t>P</w:t>
      </w:r>
      <w:r w:rsidR="008321E8">
        <w:rPr>
          <w:rFonts w:cstheme="minorHAnsi"/>
        </w:rPr>
        <w:t>roximity</w:t>
      </w:r>
      <w:r w:rsidR="00415860">
        <w:rPr>
          <w:rFonts w:cstheme="minorHAnsi"/>
        </w:rPr>
        <w:t>)</w:t>
      </w:r>
      <w:r w:rsidR="001D0E9B">
        <w:rPr>
          <w:rFonts w:cstheme="minorHAnsi"/>
        </w:rPr>
        <w:t>.</w:t>
      </w:r>
      <w:r w:rsidR="00294887">
        <w:rPr>
          <w:rFonts w:cstheme="minorHAnsi"/>
        </w:rPr>
        <w:t xml:space="preserve"> </w:t>
      </w:r>
    </w:p>
    <w:p w14:paraId="5B7E820F" w14:textId="5A3E6FB4" w:rsidR="00A31039" w:rsidRDefault="00BA10E8" w:rsidP="00BA10E8">
      <w:pPr>
        <w:rPr>
          <w:rFonts w:cstheme="minorHAnsi"/>
        </w:rPr>
      </w:pPr>
      <w:r>
        <w:rPr>
          <w:rFonts w:cstheme="minorHAnsi"/>
        </w:rPr>
        <w:t xml:space="preserve">We considered and rejected a summary index summing exposure levels for each of the three risk factors. Given difference in scales, this approach gives little weight to </w:t>
      </w:r>
      <w:r>
        <w:rPr>
          <w:rFonts w:cstheme="minorHAnsi"/>
          <w:i/>
        </w:rPr>
        <w:t>P</w:t>
      </w:r>
      <w:r w:rsidRPr="00C64906">
        <w:rPr>
          <w:rFonts w:cstheme="minorHAnsi"/>
          <w:i/>
        </w:rPr>
        <w:t xml:space="preserve">ublic </w:t>
      </w:r>
      <w:r>
        <w:rPr>
          <w:rFonts w:cstheme="minorHAnsi"/>
          <w:i/>
        </w:rPr>
        <w:t>F</w:t>
      </w:r>
      <w:r w:rsidRPr="00C64906">
        <w:rPr>
          <w:rFonts w:cstheme="minorHAnsi"/>
          <w:i/>
        </w:rPr>
        <w:t>acing</w:t>
      </w:r>
      <w:r>
        <w:rPr>
          <w:rFonts w:cstheme="minorHAnsi"/>
        </w:rPr>
        <w:t xml:space="preserve"> work. Instead</w:t>
      </w:r>
      <w:r w:rsidR="00941A65">
        <w:rPr>
          <w:rFonts w:cstheme="minorHAnsi"/>
        </w:rPr>
        <w:t>,</w:t>
      </w:r>
      <w:r>
        <w:rPr>
          <w:rFonts w:cstheme="minorHAnsi"/>
        </w:rPr>
        <w:t xml:space="preserve"> we grouped the combinations into </w:t>
      </w:r>
      <w:r w:rsidRPr="004326CA">
        <w:rPr>
          <w:rFonts w:cstheme="minorHAnsi"/>
        </w:rPr>
        <w:t xml:space="preserve">three combined </w:t>
      </w:r>
      <w:r w:rsidR="00E60F8C" w:rsidRPr="004326CA">
        <w:rPr>
          <w:rFonts w:cstheme="minorHAnsi"/>
          <w:i/>
        </w:rPr>
        <w:t>E</w:t>
      </w:r>
      <w:r w:rsidRPr="004326CA">
        <w:rPr>
          <w:rFonts w:cstheme="minorHAnsi"/>
          <w:i/>
        </w:rPr>
        <w:t xml:space="preserve">xposure </w:t>
      </w:r>
      <w:r w:rsidR="00E60F8C" w:rsidRPr="004326CA">
        <w:rPr>
          <w:rFonts w:cstheme="minorHAnsi"/>
          <w:i/>
        </w:rPr>
        <w:t>G</w:t>
      </w:r>
      <w:r w:rsidRPr="004326CA">
        <w:rPr>
          <w:rFonts w:cstheme="minorHAnsi"/>
          <w:i/>
        </w:rPr>
        <w:t>roups</w:t>
      </w:r>
      <w:r>
        <w:rPr>
          <w:rFonts w:cstheme="minorHAnsi"/>
        </w:rPr>
        <w:t xml:space="preserve"> as follows:</w:t>
      </w:r>
    </w:p>
    <w:p w14:paraId="775DB5BD" w14:textId="427B7DA2" w:rsidR="00BA10E8" w:rsidRPr="000C6821" w:rsidRDefault="00BA10E8" w:rsidP="00BA10E8">
      <w:pPr>
        <w:pStyle w:val="ListParagraph"/>
        <w:numPr>
          <w:ilvl w:val="0"/>
          <w:numId w:val="12"/>
        </w:numPr>
        <w:rPr>
          <w:rFonts w:cstheme="minorHAnsi"/>
        </w:rPr>
      </w:pPr>
      <w:r w:rsidRPr="000C6821">
        <w:rPr>
          <w:rFonts w:cstheme="minorHAnsi"/>
          <w:b/>
        </w:rPr>
        <w:t>High</w:t>
      </w:r>
      <w:r>
        <w:rPr>
          <w:rFonts w:cstheme="minorHAnsi"/>
          <w:b/>
        </w:rPr>
        <w:t>er</w:t>
      </w:r>
      <w:r w:rsidRPr="000C6821">
        <w:rPr>
          <w:rFonts w:cstheme="minorHAnsi"/>
          <w:b/>
        </w:rPr>
        <w:t xml:space="preserve"> risk occupations:</w:t>
      </w:r>
      <w:r w:rsidRPr="000C6821">
        <w:rPr>
          <w:rFonts w:cstheme="minorHAnsi"/>
        </w:rPr>
        <w:t xml:space="preserve">  Occupations designated as having the highest exposure level for at least two of the three exposure measures. </w:t>
      </w:r>
    </w:p>
    <w:p w14:paraId="61121775" w14:textId="199CB441" w:rsidR="00BA10E8" w:rsidRPr="002B0903" w:rsidRDefault="00BA10E8" w:rsidP="00BA10E8">
      <w:pPr>
        <w:pStyle w:val="ListParagraph"/>
        <w:numPr>
          <w:ilvl w:val="0"/>
          <w:numId w:val="12"/>
        </w:numPr>
        <w:rPr>
          <w:rFonts w:cstheme="minorHAnsi"/>
        </w:rPr>
      </w:pPr>
      <w:r w:rsidRPr="002B0903">
        <w:rPr>
          <w:rFonts w:cstheme="minorHAnsi"/>
          <w:b/>
        </w:rPr>
        <w:t>Low</w:t>
      </w:r>
      <w:r>
        <w:rPr>
          <w:rFonts w:cstheme="minorHAnsi"/>
          <w:b/>
        </w:rPr>
        <w:t>er</w:t>
      </w:r>
      <w:r w:rsidRPr="002B0903">
        <w:rPr>
          <w:rFonts w:cstheme="minorHAnsi"/>
          <w:b/>
        </w:rPr>
        <w:t xml:space="preserve"> risk occupations:</w:t>
      </w:r>
      <w:r w:rsidRPr="002B0903">
        <w:rPr>
          <w:rFonts w:cstheme="minorHAnsi"/>
        </w:rPr>
        <w:t xml:space="preserve">  Occupations design</w:t>
      </w:r>
      <w:r>
        <w:rPr>
          <w:rFonts w:cstheme="minorHAnsi"/>
        </w:rPr>
        <w:t xml:space="preserve">ated </w:t>
      </w:r>
      <w:r w:rsidRPr="002B0903">
        <w:rPr>
          <w:rFonts w:cstheme="minorHAnsi"/>
        </w:rPr>
        <w:t xml:space="preserve">as </w:t>
      </w:r>
      <w:r w:rsidRPr="00C64906">
        <w:rPr>
          <w:rFonts w:cstheme="minorHAnsi"/>
          <w:i/>
        </w:rPr>
        <w:t>Not Close</w:t>
      </w:r>
      <w:r w:rsidRPr="002B0903">
        <w:rPr>
          <w:rFonts w:cstheme="minorHAnsi"/>
        </w:rPr>
        <w:t xml:space="preserve"> and </w:t>
      </w:r>
      <w:r w:rsidRPr="00C64906">
        <w:rPr>
          <w:rFonts w:cstheme="minorHAnsi"/>
          <w:i/>
        </w:rPr>
        <w:t>Not Public Facing</w:t>
      </w:r>
      <w:r w:rsidRPr="002B0903">
        <w:rPr>
          <w:rFonts w:cstheme="minorHAnsi"/>
        </w:rPr>
        <w:t>, regardless of working indoors or outdoors.</w:t>
      </w:r>
      <w:r>
        <w:rPr>
          <w:rFonts w:cstheme="minorHAnsi"/>
        </w:rPr>
        <w:t xml:space="preserve"> </w:t>
      </w:r>
    </w:p>
    <w:p w14:paraId="3311D60D" w14:textId="0522E728" w:rsidR="005E4183" w:rsidRPr="003C1062" w:rsidRDefault="00BA10E8" w:rsidP="005E4183">
      <w:pPr>
        <w:pStyle w:val="ListParagraph"/>
        <w:numPr>
          <w:ilvl w:val="0"/>
          <w:numId w:val="12"/>
        </w:numPr>
        <w:rPr>
          <w:rFonts w:cstheme="minorHAnsi"/>
          <w:b/>
        </w:rPr>
      </w:pPr>
      <w:r w:rsidRPr="002B0903">
        <w:rPr>
          <w:rFonts w:cstheme="minorHAnsi"/>
          <w:b/>
        </w:rPr>
        <w:t>Medium risk occupations:</w:t>
      </w:r>
      <w:r w:rsidRPr="002B0903">
        <w:rPr>
          <w:rFonts w:cstheme="minorHAnsi"/>
        </w:rPr>
        <w:t xml:space="preserve"> Occupations in all remaining exposure c</w:t>
      </w:r>
      <w:r>
        <w:rPr>
          <w:rFonts w:cstheme="minorHAnsi"/>
        </w:rPr>
        <w:t>o</w:t>
      </w:r>
      <w:r w:rsidRPr="002B0903">
        <w:rPr>
          <w:rFonts w:cstheme="minorHAnsi"/>
        </w:rPr>
        <w:t>mbination</w:t>
      </w:r>
      <w:r>
        <w:rPr>
          <w:rFonts w:cstheme="minorHAnsi"/>
        </w:rPr>
        <w:t>s.</w:t>
      </w:r>
      <w:r w:rsidRPr="002B0903">
        <w:rPr>
          <w:rFonts w:cstheme="minorHAnsi"/>
        </w:rPr>
        <w:t xml:space="preserve">  </w:t>
      </w:r>
    </w:p>
    <w:p w14:paraId="396DD9F0" w14:textId="77777777" w:rsidR="00CC1762" w:rsidRDefault="00CC1762">
      <w:pPr>
        <w:rPr>
          <w:b/>
          <w:bCs/>
          <w:smallCaps/>
          <w:color w:val="262626" w:themeColor="text1" w:themeTint="D9"/>
        </w:rPr>
      </w:pPr>
      <w:r>
        <w:br w:type="page"/>
      </w:r>
    </w:p>
    <w:p w14:paraId="54A3BD2A" w14:textId="20980AC9" w:rsidR="003C1062" w:rsidRDefault="003C1062" w:rsidP="003C1062">
      <w:pPr>
        <w:pStyle w:val="Caption"/>
        <w:keepLines/>
        <w:rPr>
          <w:smallCaps w:val="0"/>
          <w:vertAlign w:val="superscript"/>
        </w:rPr>
      </w:pPr>
      <w:r>
        <w:t xml:space="preserve">Table </w:t>
      </w:r>
      <w:r>
        <w:fldChar w:fldCharType="begin"/>
      </w:r>
      <w:r>
        <w:instrText>SEQ Table \* ARABIC</w:instrText>
      </w:r>
      <w:r>
        <w:fldChar w:fldCharType="separate"/>
      </w:r>
      <w:r>
        <w:rPr>
          <w:noProof/>
        </w:rPr>
        <w:t>4</w:t>
      </w:r>
      <w:r>
        <w:fldChar w:fldCharType="end"/>
      </w:r>
      <w:r w:rsidRPr="00B92986">
        <w:t>. Distribution of SOC occupations</w:t>
      </w:r>
      <w:r w:rsidR="004903C9" w:rsidRPr="004903C9">
        <w:rPr>
          <w:smallCaps w:val="0"/>
          <w:vertAlign w:val="superscript"/>
        </w:rPr>
        <w:t xml:space="preserve"> </w:t>
      </w:r>
      <w:r w:rsidRPr="004903C9">
        <w:rPr>
          <w:smallCaps w:val="0"/>
          <w:vertAlign w:val="superscript"/>
        </w:rPr>
        <w:t>a</w:t>
      </w:r>
      <w:r w:rsidRPr="00B92986">
        <w:t xml:space="preserve"> and the U.S.</w:t>
      </w:r>
      <w:r w:rsidR="0005195D">
        <w:t xml:space="preserve"> </w:t>
      </w:r>
      <w:r w:rsidRPr="00B92986">
        <w:t>workforce</w:t>
      </w:r>
      <w:r w:rsidR="004903C9" w:rsidRPr="004903C9">
        <w:rPr>
          <w:smallCaps w:val="0"/>
          <w:vertAlign w:val="superscript"/>
        </w:rPr>
        <w:t xml:space="preserve"> </w:t>
      </w:r>
      <w:r w:rsidRPr="004903C9">
        <w:rPr>
          <w:smallCaps w:val="0"/>
          <w:vertAlign w:val="superscript"/>
        </w:rPr>
        <w:t>b</w:t>
      </w:r>
      <w:r w:rsidRPr="00B92986">
        <w:t xml:space="preserve"> by combinations of exposure measures for all three risk factors, using Proximity Measures 1 and 2, excluding health care occupations and workers</w:t>
      </w:r>
      <w:r w:rsidR="004903C9" w:rsidRPr="004903C9">
        <w:rPr>
          <w:smallCaps w:val="0"/>
          <w:vertAlign w:val="superscript"/>
        </w:rPr>
        <w:t xml:space="preserve"> </w:t>
      </w:r>
      <w:r w:rsidRPr="004903C9">
        <w:rPr>
          <w:smallCaps w:val="0"/>
          <w:vertAlign w:val="superscript"/>
        </w:rPr>
        <w:t>c</w:t>
      </w:r>
    </w:p>
    <w:tbl>
      <w:tblPr>
        <w:tblW w:w="9980" w:type="dxa"/>
        <w:tblLook w:val="04A0" w:firstRow="1" w:lastRow="0" w:firstColumn="1" w:lastColumn="0" w:noHBand="0" w:noVBand="1"/>
      </w:tblPr>
      <w:tblGrid>
        <w:gridCol w:w="1721"/>
        <w:gridCol w:w="2717"/>
        <w:gridCol w:w="1320"/>
        <w:gridCol w:w="1451"/>
        <w:gridCol w:w="1320"/>
        <w:gridCol w:w="1451"/>
      </w:tblGrid>
      <w:tr w:rsidR="00CC1762" w:rsidRPr="007D0ABE" w14:paraId="7E0181BF" w14:textId="77777777" w:rsidTr="005A43C1">
        <w:trPr>
          <w:trHeight w:val="1440"/>
        </w:trPr>
        <w:tc>
          <w:tcPr>
            <w:tcW w:w="1721" w:type="dxa"/>
            <w:tcBorders>
              <w:top w:val="nil"/>
              <w:left w:val="nil"/>
              <w:bottom w:val="nil"/>
              <w:right w:val="nil"/>
            </w:tcBorders>
            <w:shd w:val="clear" w:color="auto" w:fill="auto"/>
            <w:vAlign w:val="bottom"/>
            <w:hideMark/>
          </w:tcPr>
          <w:p w14:paraId="2259B546" w14:textId="77777777" w:rsidR="00CC1762" w:rsidRPr="007D0ABE" w:rsidRDefault="00CC1762" w:rsidP="009D461A">
            <w:pPr>
              <w:spacing w:after="0" w:line="240" w:lineRule="auto"/>
              <w:jc w:val="center"/>
              <w:rPr>
                <w:rFonts w:ascii="Calibri" w:eastAsia="Times New Roman" w:hAnsi="Calibri" w:cs="Times New Roman"/>
                <w:b/>
                <w:bCs/>
                <w:color w:val="000000"/>
                <w:sz w:val="18"/>
                <w:szCs w:val="18"/>
              </w:rPr>
            </w:pPr>
            <w:r w:rsidRPr="007D0ABE">
              <w:rPr>
                <w:rFonts w:ascii="Calibri" w:eastAsia="Times New Roman" w:hAnsi="Calibri" w:cs="Times New Roman"/>
                <w:b/>
                <w:bCs/>
                <w:color w:val="000000"/>
                <w:sz w:val="18"/>
                <w:szCs w:val="18"/>
              </w:rPr>
              <w:t>Risk Factors</w:t>
            </w:r>
          </w:p>
        </w:tc>
        <w:tc>
          <w:tcPr>
            <w:tcW w:w="2717" w:type="dxa"/>
            <w:tcBorders>
              <w:top w:val="nil"/>
              <w:left w:val="nil"/>
              <w:bottom w:val="nil"/>
              <w:right w:val="nil"/>
            </w:tcBorders>
            <w:shd w:val="clear" w:color="auto" w:fill="auto"/>
            <w:vAlign w:val="bottom"/>
            <w:hideMark/>
          </w:tcPr>
          <w:p w14:paraId="668C145F" w14:textId="77777777" w:rsidR="00CC1762" w:rsidRPr="007D0ABE" w:rsidRDefault="00CC1762" w:rsidP="009D461A">
            <w:pPr>
              <w:spacing w:after="0" w:line="240" w:lineRule="auto"/>
              <w:jc w:val="center"/>
              <w:rPr>
                <w:rFonts w:ascii="Calibri" w:eastAsia="Times New Roman" w:hAnsi="Calibri" w:cs="Times New Roman"/>
                <w:b/>
                <w:bCs/>
                <w:color w:val="000000"/>
                <w:sz w:val="18"/>
                <w:szCs w:val="18"/>
              </w:rPr>
            </w:pPr>
            <w:r w:rsidRPr="007D0ABE">
              <w:rPr>
                <w:rFonts w:ascii="Calibri" w:eastAsia="Times New Roman" w:hAnsi="Calibri" w:cs="Times New Roman"/>
                <w:b/>
                <w:bCs/>
                <w:color w:val="000000"/>
                <w:sz w:val="18"/>
                <w:szCs w:val="18"/>
              </w:rPr>
              <w:t>Combination of exposure measures</w:t>
            </w:r>
          </w:p>
        </w:tc>
        <w:tc>
          <w:tcPr>
            <w:tcW w:w="1320" w:type="dxa"/>
            <w:tcBorders>
              <w:top w:val="nil"/>
              <w:left w:val="nil"/>
              <w:bottom w:val="nil"/>
              <w:right w:val="nil"/>
            </w:tcBorders>
            <w:shd w:val="clear" w:color="auto" w:fill="auto"/>
            <w:vAlign w:val="bottom"/>
            <w:hideMark/>
          </w:tcPr>
          <w:p w14:paraId="26F66777" w14:textId="77777777" w:rsidR="00CC1762" w:rsidRPr="007D0ABE" w:rsidRDefault="00CC1762" w:rsidP="009D461A">
            <w:pPr>
              <w:spacing w:after="0" w:line="240" w:lineRule="auto"/>
              <w:jc w:val="center"/>
              <w:rPr>
                <w:rFonts w:ascii="Calibri" w:eastAsia="Times New Roman" w:hAnsi="Calibri" w:cs="Times New Roman"/>
                <w:b/>
                <w:bCs/>
                <w:color w:val="000000"/>
                <w:sz w:val="18"/>
                <w:szCs w:val="18"/>
              </w:rPr>
            </w:pPr>
            <w:r w:rsidRPr="007D0ABE">
              <w:rPr>
                <w:rFonts w:ascii="Calibri" w:eastAsia="Times New Roman" w:hAnsi="Calibri" w:cs="Times New Roman"/>
                <w:b/>
                <w:bCs/>
                <w:color w:val="000000"/>
                <w:sz w:val="18"/>
                <w:szCs w:val="18"/>
              </w:rPr>
              <w:t>Proximity Measure 1:</w:t>
            </w:r>
            <w:r w:rsidRPr="007D0ABE">
              <w:rPr>
                <w:rFonts w:ascii="Calibri" w:eastAsia="Times New Roman" w:hAnsi="Calibri" w:cs="Times New Roman"/>
                <w:b/>
                <w:bCs/>
                <w:color w:val="000000"/>
                <w:sz w:val="18"/>
                <w:szCs w:val="18"/>
              </w:rPr>
              <w:br/>
              <w:t xml:space="preserve">%  SOC occupations  </w:t>
            </w:r>
            <w:r w:rsidRPr="007D0ABE">
              <w:rPr>
                <w:rFonts w:ascii="Calibri" w:eastAsia="Times New Roman" w:hAnsi="Calibri" w:cs="Times New Roman"/>
                <w:b/>
                <w:bCs/>
                <w:color w:val="000000"/>
                <w:sz w:val="18"/>
                <w:szCs w:val="18"/>
              </w:rPr>
              <w:br/>
              <w:t xml:space="preserve">(N= 696) </w:t>
            </w:r>
          </w:p>
        </w:tc>
        <w:tc>
          <w:tcPr>
            <w:tcW w:w="1451" w:type="dxa"/>
            <w:tcBorders>
              <w:top w:val="nil"/>
              <w:left w:val="nil"/>
              <w:bottom w:val="nil"/>
              <w:right w:val="nil"/>
            </w:tcBorders>
            <w:shd w:val="clear" w:color="auto" w:fill="auto"/>
            <w:vAlign w:val="bottom"/>
            <w:hideMark/>
          </w:tcPr>
          <w:p w14:paraId="55EC09BC" w14:textId="77777777" w:rsidR="00CC1762" w:rsidRPr="007D0ABE" w:rsidRDefault="00CC1762" w:rsidP="009D461A">
            <w:pPr>
              <w:spacing w:after="0" w:line="240" w:lineRule="auto"/>
              <w:jc w:val="center"/>
              <w:rPr>
                <w:rFonts w:ascii="Calibri" w:eastAsia="Times New Roman" w:hAnsi="Calibri" w:cs="Times New Roman"/>
                <w:b/>
                <w:bCs/>
                <w:color w:val="000000"/>
                <w:sz w:val="18"/>
                <w:szCs w:val="18"/>
              </w:rPr>
            </w:pPr>
            <w:r w:rsidRPr="007D0ABE">
              <w:rPr>
                <w:rFonts w:ascii="Calibri" w:eastAsia="Times New Roman" w:hAnsi="Calibri" w:cs="Times New Roman"/>
                <w:b/>
                <w:bCs/>
                <w:color w:val="000000"/>
                <w:sz w:val="18"/>
                <w:szCs w:val="18"/>
              </w:rPr>
              <w:t>Proximity Measure 1:</w:t>
            </w:r>
            <w:r w:rsidRPr="007D0ABE">
              <w:rPr>
                <w:rFonts w:ascii="Calibri" w:eastAsia="Times New Roman" w:hAnsi="Calibri" w:cs="Times New Roman"/>
                <w:b/>
                <w:bCs/>
                <w:color w:val="000000"/>
                <w:sz w:val="18"/>
                <w:szCs w:val="18"/>
              </w:rPr>
              <w:br/>
              <w:t xml:space="preserve">% U.S. Workforce (N=132,324,596)    </w:t>
            </w:r>
          </w:p>
        </w:tc>
        <w:tc>
          <w:tcPr>
            <w:tcW w:w="1320" w:type="dxa"/>
            <w:tcBorders>
              <w:top w:val="nil"/>
              <w:left w:val="nil"/>
              <w:bottom w:val="nil"/>
              <w:right w:val="nil"/>
            </w:tcBorders>
            <w:shd w:val="clear" w:color="auto" w:fill="auto"/>
            <w:vAlign w:val="bottom"/>
            <w:hideMark/>
          </w:tcPr>
          <w:p w14:paraId="5B3E5267" w14:textId="77777777" w:rsidR="00CC1762" w:rsidRPr="007D0ABE" w:rsidRDefault="00CC1762" w:rsidP="009D461A">
            <w:pPr>
              <w:spacing w:after="0" w:line="240" w:lineRule="auto"/>
              <w:jc w:val="center"/>
              <w:rPr>
                <w:rFonts w:ascii="Calibri" w:eastAsia="Times New Roman" w:hAnsi="Calibri" w:cs="Times New Roman"/>
                <w:b/>
                <w:bCs/>
                <w:color w:val="000000"/>
                <w:sz w:val="18"/>
                <w:szCs w:val="18"/>
              </w:rPr>
            </w:pPr>
            <w:r w:rsidRPr="007D0ABE">
              <w:rPr>
                <w:rFonts w:ascii="Calibri" w:eastAsia="Times New Roman" w:hAnsi="Calibri" w:cs="Times New Roman"/>
                <w:b/>
                <w:bCs/>
                <w:color w:val="000000"/>
                <w:sz w:val="18"/>
                <w:szCs w:val="18"/>
              </w:rPr>
              <w:t>Proximity Measure 2:</w:t>
            </w:r>
            <w:r w:rsidRPr="007D0ABE">
              <w:rPr>
                <w:rFonts w:ascii="Calibri" w:eastAsia="Times New Roman" w:hAnsi="Calibri" w:cs="Times New Roman"/>
                <w:b/>
                <w:bCs/>
                <w:color w:val="000000"/>
                <w:sz w:val="18"/>
                <w:szCs w:val="18"/>
              </w:rPr>
              <w:br/>
              <w:t xml:space="preserve">%  SOC occupations  </w:t>
            </w:r>
            <w:r w:rsidRPr="007D0ABE">
              <w:rPr>
                <w:rFonts w:ascii="Calibri" w:eastAsia="Times New Roman" w:hAnsi="Calibri" w:cs="Times New Roman"/>
                <w:b/>
                <w:bCs/>
                <w:color w:val="000000"/>
                <w:sz w:val="18"/>
                <w:szCs w:val="18"/>
              </w:rPr>
              <w:br/>
              <w:t xml:space="preserve">(N= 696) </w:t>
            </w:r>
          </w:p>
        </w:tc>
        <w:tc>
          <w:tcPr>
            <w:tcW w:w="1451" w:type="dxa"/>
            <w:tcBorders>
              <w:top w:val="nil"/>
              <w:left w:val="nil"/>
              <w:bottom w:val="nil"/>
              <w:right w:val="nil"/>
            </w:tcBorders>
            <w:shd w:val="clear" w:color="auto" w:fill="auto"/>
            <w:vAlign w:val="bottom"/>
            <w:hideMark/>
          </w:tcPr>
          <w:p w14:paraId="00EC22D9" w14:textId="77777777" w:rsidR="00CC1762" w:rsidRPr="007D0ABE" w:rsidRDefault="00CC1762" w:rsidP="009D461A">
            <w:pPr>
              <w:spacing w:after="0" w:line="240" w:lineRule="auto"/>
              <w:jc w:val="center"/>
              <w:rPr>
                <w:rFonts w:ascii="Calibri" w:eastAsia="Times New Roman" w:hAnsi="Calibri" w:cs="Times New Roman"/>
                <w:b/>
                <w:bCs/>
                <w:color w:val="000000"/>
                <w:sz w:val="18"/>
                <w:szCs w:val="18"/>
              </w:rPr>
            </w:pPr>
            <w:r w:rsidRPr="007D0ABE">
              <w:rPr>
                <w:rFonts w:ascii="Calibri" w:eastAsia="Times New Roman" w:hAnsi="Calibri" w:cs="Times New Roman"/>
                <w:b/>
                <w:bCs/>
                <w:color w:val="000000"/>
                <w:sz w:val="18"/>
                <w:szCs w:val="18"/>
              </w:rPr>
              <w:t>Proximity Measure 2:</w:t>
            </w:r>
            <w:r w:rsidRPr="007D0ABE">
              <w:rPr>
                <w:rFonts w:ascii="Calibri" w:eastAsia="Times New Roman" w:hAnsi="Calibri" w:cs="Times New Roman"/>
                <w:b/>
                <w:bCs/>
                <w:color w:val="000000"/>
                <w:sz w:val="18"/>
                <w:szCs w:val="18"/>
              </w:rPr>
              <w:br/>
              <w:t xml:space="preserve">% U.S. Workforce (N=132,324,596)    </w:t>
            </w:r>
          </w:p>
        </w:tc>
      </w:tr>
      <w:tr w:rsidR="00CC1762" w:rsidRPr="007D0ABE" w14:paraId="78F8D3AC" w14:textId="77777777" w:rsidTr="005A43C1">
        <w:trPr>
          <w:trHeight w:val="480"/>
        </w:trPr>
        <w:tc>
          <w:tcPr>
            <w:tcW w:w="1721" w:type="dxa"/>
            <w:tcBorders>
              <w:top w:val="nil"/>
              <w:left w:val="single" w:sz="4" w:space="0" w:color="auto"/>
              <w:bottom w:val="nil"/>
              <w:right w:val="nil"/>
            </w:tcBorders>
            <w:shd w:val="clear" w:color="000000" w:fill="C0504D"/>
            <w:vAlign w:val="bottom"/>
            <w:hideMark/>
          </w:tcPr>
          <w:p w14:paraId="1ADB6EF5"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 xml:space="preserve"> High exposure combinations</w:t>
            </w:r>
          </w:p>
        </w:tc>
        <w:tc>
          <w:tcPr>
            <w:tcW w:w="2717" w:type="dxa"/>
            <w:tcBorders>
              <w:top w:val="nil"/>
              <w:left w:val="nil"/>
              <w:bottom w:val="nil"/>
              <w:right w:val="nil"/>
            </w:tcBorders>
            <w:shd w:val="clear" w:color="000000" w:fill="E6B8B7"/>
            <w:vAlign w:val="bottom"/>
            <w:hideMark/>
          </w:tcPr>
          <w:p w14:paraId="6F3C61AD"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1:Very close Primarily </w:t>
            </w:r>
            <w:proofErr w:type="spellStart"/>
            <w:r w:rsidRPr="007D0ABE">
              <w:rPr>
                <w:rFonts w:ascii="Calibri" w:eastAsia="Times New Roman" w:hAnsi="Calibri" w:cs="Times New Roman"/>
                <w:color w:val="000000"/>
                <w:sz w:val="18"/>
                <w:szCs w:val="18"/>
              </w:rPr>
              <w:t>indoor_Public</w:t>
            </w:r>
            <w:proofErr w:type="spellEnd"/>
            <w:r w:rsidRPr="007D0ABE">
              <w:rPr>
                <w:rFonts w:ascii="Calibri" w:eastAsia="Times New Roman" w:hAnsi="Calibri" w:cs="Times New Roman"/>
                <w:color w:val="000000"/>
                <w:sz w:val="18"/>
                <w:szCs w:val="18"/>
              </w:rPr>
              <w:t xml:space="preserve"> facing</w:t>
            </w:r>
          </w:p>
        </w:tc>
        <w:tc>
          <w:tcPr>
            <w:tcW w:w="1320" w:type="dxa"/>
            <w:tcBorders>
              <w:top w:val="nil"/>
              <w:left w:val="nil"/>
              <w:bottom w:val="nil"/>
              <w:right w:val="nil"/>
            </w:tcBorders>
            <w:shd w:val="clear" w:color="000000" w:fill="E6B8B7"/>
            <w:noWrap/>
            <w:vAlign w:val="bottom"/>
            <w:hideMark/>
          </w:tcPr>
          <w:p w14:paraId="7A7C1E48"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10.1%</w:t>
            </w:r>
          </w:p>
        </w:tc>
        <w:tc>
          <w:tcPr>
            <w:tcW w:w="1451" w:type="dxa"/>
            <w:tcBorders>
              <w:top w:val="nil"/>
              <w:left w:val="nil"/>
              <w:bottom w:val="nil"/>
              <w:right w:val="nil"/>
            </w:tcBorders>
            <w:shd w:val="clear" w:color="000000" w:fill="E6B8B7"/>
            <w:noWrap/>
            <w:vAlign w:val="bottom"/>
            <w:hideMark/>
          </w:tcPr>
          <w:p w14:paraId="06A2BADA"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24.4%</w:t>
            </w:r>
          </w:p>
        </w:tc>
        <w:tc>
          <w:tcPr>
            <w:tcW w:w="1320" w:type="dxa"/>
            <w:tcBorders>
              <w:top w:val="nil"/>
              <w:left w:val="nil"/>
              <w:bottom w:val="nil"/>
              <w:right w:val="nil"/>
            </w:tcBorders>
            <w:shd w:val="clear" w:color="000000" w:fill="E6B8B7"/>
            <w:noWrap/>
            <w:vAlign w:val="bottom"/>
            <w:hideMark/>
          </w:tcPr>
          <w:p w14:paraId="2BE6F911"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12.8%</w:t>
            </w:r>
          </w:p>
        </w:tc>
        <w:tc>
          <w:tcPr>
            <w:tcW w:w="1451" w:type="dxa"/>
            <w:tcBorders>
              <w:top w:val="nil"/>
              <w:left w:val="nil"/>
              <w:bottom w:val="nil"/>
              <w:right w:val="nil"/>
            </w:tcBorders>
            <w:shd w:val="clear" w:color="000000" w:fill="E6B8B7"/>
            <w:noWrap/>
            <w:vAlign w:val="bottom"/>
            <w:hideMark/>
          </w:tcPr>
          <w:p w14:paraId="56EDB9AC"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27.3%</w:t>
            </w:r>
          </w:p>
        </w:tc>
      </w:tr>
      <w:tr w:rsidR="00CC1762" w:rsidRPr="007D0ABE" w14:paraId="17F64547" w14:textId="77777777" w:rsidTr="005A43C1">
        <w:trPr>
          <w:trHeight w:val="480"/>
        </w:trPr>
        <w:tc>
          <w:tcPr>
            <w:tcW w:w="1721" w:type="dxa"/>
            <w:tcBorders>
              <w:top w:val="nil"/>
              <w:left w:val="single" w:sz="4" w:space="0" w:color="auto"/>
              <w:bottom w:val="nil"/>
              <w:right w:val="nil"/>
            </w:tcBorders>
            <w:shd w:val="clear" w:color="000000" w:fill="C0504D"/>
            <w:vAlign w:val="bottom"/>
            <w:hideMark/>
          </w:tcPr>
          <w:p w14:paraId="7CDD65AA"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 xml:space="preserve"> High exposure combinations</w:t>
            </w:r>
          </w:p>
        </w:tc>
        <w:tc>
          <w:tcPr>
            <w:tcW w:w="2717" w:type="dxa"/>
            <w:tcBorders>
              <w:top w:val="nil"/>
              <w:left w:val="nil"/>
              <w:bottom w:val="nil"/>
              <w:right w:val="nil"/>
            </w:tcBorders>
            <w:shd w:val="clear" w:color="000000" w:fill="E6B8B7"/>
            <w:vAlign w:val="bottom"/>
            <w:hideMark/>
          </w:tcPr>
          <w:p w14:paraId="54923872"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2:Very close_ Primarily </w:t>
            </w:r>
            <w:proofErr w:type="spellStart"/>
            <w:r w:rsidRPr="007D0ABE">
              <w:rPr>
                <w:rFonts w:ascii="Calibri" w:eastAsia="Times New Roman" w:hAnsi="Calibri" w:cs="Times New Roman"/>
                <w:color w:val="000000"/>
                <w:sz w:val="18"/>
                <w:szCs w:val="18"/>
              </w:rPr>
              <w:t>indoor_Not</w:t>
            </w:r>
            <w:proofErr w:type="spellEnd"/>
            <w:r w:rsidRPr="007D0ABE">
              <w:rPr>
                <w:rFonts w:ascii="Calibri" w:eastAsia="Times New Roman" w:hAnsi="Calibri" w:cs="Times New Roman"/>
                <w:color w:val="000000"/>
                <w:sz w:val="18"/>
                <w:szCs w:val="18"/>
              </w:rPr>
              <w:t xml:space="preserve"> public facing</w:t>
            </w:r>
          </w:p>
        </w:tc>
        <w:tc>
          <w:tcPr>
            <w:tcW w:w="1320" w:type="dxa"/>
            <w:tcBorders>
              <w:top w:val="nil"/>
              <w:left w:val="nil"/>
              <w:bottom w:val="nil"/>
              <w:right w:val="nil"/>
            </w:tcBorders>
            <w:shd w:val="clear" w:color="000000" w:fill="E6B8B7"/>
            <w:noWrap/>
            <w:vAlign w:val="bottom"/>
            <w:hideMark/>
          </w:tcPr>
          <w:p w14:paraId="088C59D7"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5.9%</w:t>
            </w:r>
          </w:p>
        </w:tc>
        <w:tc>
          <w:tcPr>
            <w:tcW w:w="1451" w:type="dxa"/>
            <w:tcBorders>
              <w:top w:val="nil"/>
              <w:left w:val="nil"/>
              <w:bottom w:val="nil"/>
              <w:right w:val="nil"/>
            </w:tcBorders>
            <w:shd w:val="clear" w:color="000000" w:fill="E6B8B7"/>
            <w:noWrap/>
            <w:vAlign w:val="bottom"/>
            <w:hideMark/>
          </w:tcPr>
          <w:p w14:paraId="0B5F3A37"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4.2%</w:t>
            </w:r>
          </w:p>
        </w:tc>
        <w:tc>
          <w:tcPr>
            <w:tcW w:w="1320" w:type="dxa"/>
            <w:tcBorders>
              <w:top w:val="nil"/>
              <w:left w:val="nil"/>
              <w:bottom w:val="nil"/>
              <w:right w:val="nil"/>
            </w:tcBorders>
            <w:shd w:val="clear" w:color="000000" w:fill="E6B8B7"/>
            <w:noWrap/>
            <w:vAlign w:val="bottom"/>
            <w:hideMark/>
          </w:tcPr>
          <w:p w14:paraId="5F4910CB"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13.1%</w:t>
            </w:r>
          </w:p>
        </w:tc>
        <w:tc>
          <w:tcPr>
            <w:tcW w:w="1451" w:type="dxa"/>
            <w:tcBorders>
              <w:top w:val="nil"/>
              <w:left w:val="nil"/>
              <w:bottom w:val="nil"/>
              <w:right w:val="nil"/>
            </w:tcBorders>
            <w:shd w:val="clear" w:color="000000" w:fill="E6B8B7"/>
            <w:noWrap/>
            <w:vAlign w:val="bottom"/>
            <w:hideMark/>
          </w:tcPr>
          <w:p w14:paraId="11161A29"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18.8%</w:t>
            </w:r>
          </w:p>
        </w:tc>
      </w:tr>
      <w:tr w:rsidR="00CC1762" w:rsidRPr="007D0ABE" w14:paraId="486DA96D" w14:textId="77777777" w:rsidTr="005A43C1">
        <w:trPr>
          <w:trHeight w:val="480"/>
        </w:trPr>
        <w:tc>
          <w:tcPr>
            <w:tcW w:w="1721" w:type="dxa"/>
            <w:tcBorders>
              <w:top w:val="nil"/>
              <w:left w:val="single" w:sz="4" w:space="0" w:color="auto"/>
              <w:bottom w:val="nil"/>
              <w:right w:val="nil"/>
            </w:tcBorders>
            <w:shd w:val="clear" w:color="000000" w:fill="C0504D"/>
            <w:vAlign w:val="bottom"/>
            <w:hideMark/>
          </w:tcPr>
          <w:p w14:paraId="5DCC78FA"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 xml:space="preserve"> High exposure combinations</w:t>
            </w:r>
          </w:p>
        </w:tc>
        <w:tc>
          <w:tcPr>
            <w:tcW w:w="2717" w:type="dxa"/>
            <w:tcBorders>
              <w:top w:val="nil"/>
              <w:left w:val="nil"/>
              <w:bottom w:val="nil"/>
              <w:right w:val="nil"/>
            </w:tcBorders>
            <w:shd w:val="clear" w:color="000000" w:fill="E6B8B7"/>
            <w:vAlign w:val="bottom"/>
            <w:hideMark/>
          </w:tcPr>
          <w:p w14:paraId="0849F3E7"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3:Very </w:t>
            </w:r>
            <w:proofErr w:type="spellStart"/>
            <w:r w:rsidRPr="007D0ABE">
              <w:rPr>
                <w:rFonts w:ascii="Calibri" w:eastAsia="Times New Roman" w:hAnsi="Calibri" w:cs="Times New Roman"/>
                <w:color w:val="000000"/>
                <w:sz w:val="18"/>
                <w:szCs w:val="18"/>
              </w:rPr>
              <w:t>close_Oft</w:t>
            </w:r>
            <w:proofErr w:type="spellEnd"/>
            <w:r w:rsidRPr="007D0ABE">
              <w:rPr>
                <w:rFonts w:ascii="Calibri" w:eastAsia="Times New Roman" w:hAnsi="Calibri" w:cs="Times New Roman"/>
                <w:color w:val="000000"/>
                <w:sz w:val="18"/>
                <w:szCs w:val="18"/>
              </w:rPr>
              <w:t xml:space="preserve"> </w:t>
            </w:r>
            <w:proofErr w:type="spellStart"/>
            <w:r w:rsidRPr="007D0ABE">
              <w:rPr>
                <w:rFonts w:ascii="Calibri" w:eastAsia="Times New Roman" w:hAnsi="Calibri" w:cs="Times New Roman"/>
                <w:color w:val="000000"/>
                <w:sz w:val="18"/>
                <w:szCs w:val="18"/>
              </w:rPr>
              <w:t>indoor_Public</w:t>
            </w:r>
            <w:proofErr w:type="spellEnd"/>
            <w:r w:rsidRPr="007D0ABE">
              <w:rPr>
                <w:rFonts w:ascii="Calibri" w:eastAsia="Times New Roman" w:hAnsi="Calibri" w:cs="Times New Roman"/>
                <w:color w:val="000000"/>
                <w:sz w:val="18"/>
                <w:szCs w:val="18"/>
              </w:rPr>
              <w:t xml:space="preserve"> facing</w:t>
            </w:r>
          </w:p>
        </w:tc>
        <w:tc>
          <w:tcPr>
            <w:tcW w:w="1320" w:type="dxa"/>
            <w:tcBorders>
              <w:top w:val="nil"/>
              <w:left w:val="nil"/>
              <w:bottom w:val="nil"/>
              <w:right w:val="nil"/>
            </w:tcBorders>
            <w:shd w:val="clear" w:color="000000" w:fill="E6B8B7"/>
            <w:noWrap/>
            <w:vAlign w:val="bottom"/>
            <w:hideMark/>
          </w:tcPr>
          <w:p w14:paraId="181E99AC"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1.3%</w:t>
            </w:r>
          </w:p>
        </w:tc>
        <w:tc>
          <w:tcPr>
            <w:tcW w:w="1451" w:type="dxa"/>
            <w:tcBorders>
              <w:top w:val="nil"/>
              <w:left w:val="nil"/>
              <w:bottom w:val="nil"/>
              <w:right w:val="nil"/>
            </w:tcBorders>
            <w:shd w:val="clear" w:color="000000" w:fill="E6B8B7"/>
            <w:noWrap/>
            <w:vAlign w:val="bottom"/>
            <w:hideMark/>
          </w:tcPr>
          <w:p w14:paraId="68FA0A2A"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2.2%</w:t>
            </w:r>
          </w:p>
        </w:tc>
        <w:tc>
          <w:tcPr>
            <w:tcW w:w="1320" w:type="dxa"/>
            <w:tcBorders>
              <w:top w:val="nil"/>
              <w:left w:val="nil"/>
              <w:bottom w:val="nil"/>
              <w:right w:val="nil"/>
            </w:tcBorders>
            <w:shd w:val="clear" w:color="000000" w:fill="E6B8B7"/>
            <w:noWrap/>
            <w:vAlign w:val="bottom"/>
            <w:hideMark/>
          </w:tcPr>
          <w:p w14:paraId="5B64CD51"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1.9%</w:t>
            </w:r>
          </w:p>
        </w:tc>
        <w:tc>
          <w:tcPr>
            <w:tcW w:w="1451" w:type="dxa"/>
            <w:tcBorders>
              <w:top w:val="nil"/>
              <w:left w:val="nil"/>
              <w:bottom w:val="nil"/>
              <w:right w:val="nil"/>
            </w:tcBorders>
            <w:shd w:val="clear" w:color="000000" w:fill="E6B8B7"/>
            <w:noWrap/>
            <w:vAlign w:val="bottom"/>
            <w:hideMark/>
          </w:tcPr>
          <w:p w14:paraId="45257105"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2.6%</w:t>
            </w:r>
          </w:p>
        </w:tc>
      </w:tr>
      <w:tr w:rsidR="00CC1762" w:rsidRPr="007D0ABE" w14:paraId="36A0AF58" w14:textId="77777777" w:rsidTr="005A43C1">
        <w:trPr>
          <w:trHeight w:val="480"/>
        </w:trPr>
        <w:tc>
          <w:tcPr>
            <w:tcW w:w="1721" w:type="dxa"/>
            <w:tcBorders>
              <w:top w:val="nil"/>
              <w:left w:val="single" w:sz="4" w:space="0" w:color="auto"/>
              <w:bottom w:val="nil"/>
              <w:right w:val="nil"/>
            </w:tcBorders>
            <w:shd w:val="clear" w:color="000000" w:fill="C0504D"/>
            <w:vAlign w:val="bottom"/>
            <w:hideMark/>
          </w:tcPr>
          <w:p w14:paraId="3209A7EB"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 xml:space="preserve"> High exposure combinations</w:t>
            </w:r>
          </w:p>
        </w:tc>
        <w:tc>
          <w:tcPr>
            <w:tcW w:w="2717" w:type="dxa"/>
            <w:tcBorders>
              <w:top w:val="nil"/>
              <w:left w:val="nil"/>
              <w:bottom w:val="nil"/>
              <w:right w:val="nil"/>
            </w:tcBorders>
            <w:shd w:val="clear" w:color="000000" w:fill="E6B8B7"/>
            <w:vAlign w:val="bottom"/>
            <w:hideMark/>
          </w:tcPr>
          <w:p w14:paraId="377BBCBC"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5:Very </w:t>
            </w:r>
            <w:proofErr w:type="spellStart"/>
            <w:r w:rsidRPr="007D0ABE">
              <w:rPr>
                <w:rFonts w:ascii="Calibri" w:eastAsia="Times New Roman" w:hAnsi="Calibri" w:cs="Times New Roman"/>
                <w:color w:val="000000"/>
                <w:sz w:val="18"/>
                <w:szCs w:val="18"/>
              </w:rPr>
              <w:t>close_Oft</w:t>
            </w:r>
            <w:proofErr w:type="spellEnd"/>
            <w:r w:rsidRPr="007D0ABE">
              <w:rPr>
                <w:rFonts w:ascii="Calibri" w:eastAsia="Times New Roman" w:hAnsi="Calibri" w:cs="Times New Roman"/>
                <w:color w:val="000000"/>
                <w:sz w:val="18"/>
                <w:szCs w:val="18"/>
              </w:rPr>
              <w:t xml:space="preserve"> </w:t>
            </w:r>
            <w:proofErr w:type="spellStart"/>
            <w:r w:rsidRPr="007D0ABE">
              <w:rPr>
                <w:rFonts w:ascii="Calibri" w:eastAsia="Times New Roman" w:hAnsi="Calibri" w:cs="Times New Roman"/>
                <w:color w:val="000000"/>
                <w:sz w:val="18"/>
                <w:szCs w:val="18"/>
              </w:rPr>
              <w:t>outdoor_Public</w:t>
            </w:r>
            <w:proofErr w:type="spellEnd"/>
            <w:r w:rsidRPr="007D0ABE">
              <w:rPr>
                <w:rFonts w:ascii="Calibri" w:eastAsia="Times New Roman" w:hAnsi="Calibri" w:cs="Times New Roman"/>
                <w:color w:val="000000"/>
                <w:sz w:val="18"/>
                <w:szCs w:val="18"/>
              </w:rPr>
              <w:t xml:space="preserve"> facing</w:t>
            </w:r>
          </w:p>
        </w:tc>
        <w:tc>
          <w:tcPr>
            <w:tcW w:w="1320" w:type="dxa"/>
            <w:tcBorders>
              <w:top w:val="nil"/>
              <w:left w:val="nil"/>
              <w:bottom w:val="nil"/>
              <w:right w:val="nil"/>
            </w:tcBorders>
            <w:shd w:val="clear" w:color="000000" w:fill="E6B8B7"/>
            <w:noWrap/>
            <w:vAlign w:val="bottom"/>
            <w:hideMark/>
          </w:tcPr>
          <w:p w14:paraId="21045463"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1.1%</w:t>
            </w:r>
          </w:p>
        </w:tc>
        <w:tc>
          <w:tcPr>
            <w:tcW w:w="1451" w:type="dxa"/>
            <w:tcBorders>
              <w:top w:val="nil"/>
              <w:left w:val="nil"/>
              <w:bottom w:val="nil"/>
              <w:right w:val="nil"/>
            </w:tcBorders>
            <w:shd w:val="clear" w:color="000000" w:fill="E6B8B7"/>
            <w:noWrap/>
            <w:vAlign w:val="bottom"/>
            <w:hideMark/>
          </w:tcPr>
          <w:p w14:paraId="3E261682"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0.9%</w:t>
            </w:r>
          </w:p>
        </w:tc>
        <w:tc>
          <w:tcPr>
            <w:tcW w:w="1320" w:type="dxa"/>
            <w:tcBorders>
              <w:top w:val="nil"/>
              <w:left w:val="nil"/>
              <w:bottom w:val="nil"/>
              <w:right w:val="nil"/>
            </w:tcBorders>
            <w:shd w:val="clear" w:color="000000" w:fill="E6B8B7"/>
            <w:noWrap/>
            <w:vAlign w:val="bottom"/>
            <w:hideMark/>
          </w:tcPr>
          <w:p w14:paraId="563A4A13"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1.4%</w:t>
            </w:r>
          </w:p>
        </w:tc>
        <w:tc>
          <w:tcPr>
            <w:tcW w:w="1451" w:type="dxa"/>
            <w:tcBorders>
              <w:top w:val="nil"/>
              <w:left w:val="nil"/>
              <w:bottom w:val="nil"/>
              <w:right w:val="nil"/>
            </w:tcBorders>
            <w:shd w:val="clear" w:color="000000" w:fill="E6B8B7"/>
            <w:noWrap/>
            <w:vAlign w:val="bottom"/>
            <w:hideMark/>
          </w:tcPr>
          <w:p w14:paraId="1538945F"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1.6%</w:t>
            </w:r>
          </w:p>
        </w:tc>
      </w:tr>
      <w:tr w:rsidR="00CC1762" w:rsidRPr="007D0ABE" w14:paraId="425E2301" w14:textId="77777777" w:rsidTr="005A43C1">
        <w:trPr>
          <w:trHeight w:val="480"/>
        </w:trPr>
        <w:tc>
          <w:tcPr>
            <w:tcW w:w="1721" w:type="dxa"/>
            <w:tcBorders>
              <w:top w:val="nil"/>
              <w:left w:val="single" w:sz="4" w:space="0" w:color="auto"/>
              <w:bottom w:val="nil"/>
              <w:right w:val="nil"/>
            </w:tcBorders>
            <w:shd w:val="clear" w:color="000000" w:fill="C0504D"/>
            <w:vAlign w:val="bottom"/>
            <w:hideMark/>
          </w:tcPr>
          <w:p w14:paraId="4D738A9A"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 xml:space="preserve"> High exposure combinations</w:t>
            </w:r>
          </w:p>
        </w:tc>
        <w:tc>
          <w:tcPr>
            <w:tcW w:w="2717" w:type="dxa"/>
            <w:tcBorders>
              <w:top w:val="nil"/>
              <w:left w:val="nil"/>
              <w:bottom w:val="nil"/>
              <w:right w:val="nil"/>
            </w:tcBorders>
            <w:shd w:val="clear" w:color="000000" w:fill="E6B8B7"/>
            <w:vAlign w:val="bottom"/>
            <w:hideMark/>
          </w:tcPr>
          <w:p w14:paraId="6499024C"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7:Very </w:t>
            </w:r>
            <w:proofErr w:type="spellStart"/>
            <w:r w:rsidRPr="007D0ABE">
              <w:rPr>
                <w:rFonts w:ascii="Calibri" w:eastAsia="Times New Roman" w:hAnsi="Calibri" w:cs="Times New Roman"/>
                <w:color w:val="000000"/>
                <w:sz w:val="18"/>
                <w:szCs w:val="18"/>
              </w:rPr>
              <w:t>close_Primarily</w:t>
            </w:r>
            <w:proofErr w:type="spellEnd"/>
            <w:r w:rsidRPr="007D0ABE">
              <w:rPr>
                <w:rFonts w:ascii="Calibri" w:eastAsia="Times New Roman" w:hAnsi="Calibri" w:cs="Times New Roman"/>
                <w:color w:val="000000"/>
                <w:sz w:val="18"/>
                <w:szCs w:val="18"/>
              </w:rPr>
              <w:t xml:space="preserve"> </w:t>
            </w:r>
            <w:proofErr w:type="spellStart"/>
            <w:r w:rsidRPr="007D0ABE">
              <w:rPr>
                <w:rFonts w:ascii="Calibri" w:eastAsia="Times New Roman" w:hAnsi="Calibri" w:cs="Times New Roman"/>
                <w:color w:val="000000"/>
                <w:sz w:val="18"/>
                <w:szCs w:val="18"/>
              </w:rPr>
              <w:t>outdoor_Public</w:t>
            </w:r>
            <w:proofErr w:type="spellEnd"/>
            <w:r w:rsidRPr="007D0ABE">
              <w:rPr>
                <w:rFonts w:ascii="Calibri" w:eastAsia="Times New Roman" w:hAnsi="Calibri" w:cs="Times New Roman"/>
                <w:color w:val="000000"/>
                <w:sz w:val="18"/>
                <w:szCs w:val="18"/>
              </w:rPr>
              <w:t xml:space="preserve"> facing</w:t>
            </w:r>
          </w:p>
        </w:tc>
        <w:tc>
          <w:tcPr>
            <w:tcW w:w="1320" w:type="dxa"/>
            <w:tcBorders>
              <w:top w:val="nil"/>
              <w:left w:val="nil"/>
              <w:bottom w:val="nil"/>
              <w:right w:val="nil"/>
            </w:tcBorders>
            <w:shd w:val="clear" w:color="000000" w:fill="E6B8B7"/>
            <w:noWrap/>
            <w:vAlign w:val="bottom"/>
            <w:hideMark/>
          </w:tcPr>
          <w:p w14:paraId="5CF9FAF8"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0.1%</w:t>
            </w:r>
          </w:p>
        </w:tc>
        <w:tc>
          <w:tcPr>
            <w:tcW w:w="1451" w:type="dxa"/>
            <w:tcBorders>
              <w:top w:val="nil"/>
              <w:left w:val="nil"/>
              <w:bottom w:val="nil"/>
              <w:right w:val="nil"/>
            </w:tcBorders>
            <w:shd w:val="clear" w:color="000000" w:fill="E6B8B7"/>
            <w:noWrap/>
            <w:vAlign w:val="bottom"/>
            <w:hideMark/>
          </w:tcPr>
          <w:p w14:paraId="7D1DE25E"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0.1%</w:t>
            </w:r>
          </w:p>
        </w:tc>
        <w:tc>
          <w:tcPr>
            <w:tcW w:w="1320" w:type="dxa"/>
            <w:tcBorders>
              <w:top w:val="nil"/>
              <w:left w:val="nil"/>
              <w:bottom w:val="nil"/>
              <w:right w:val="nil"/>
            </w:tcBorders>
            <w:shd w:val="clear" w:color="000000" w:fill="E6B8B7"/>
            <w:noWrap/>
            <w:vAlign w:val="bottom"/>
            <w:hideMark/>
          </w:tcPr>
          <w:p w14:paraId="7E822E06"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0.1%</w:t>
            </w:r>
          </w:p>
        </w:tc>
        <w:tc>
          <w:tcPr>
            <w:tcW w:w="1451" w:type="dxa"/>
            <w:tcBorders>
              <w:top w:val="nil"/>
              <w:left w:val="nil"/>
              <w:bottom w:val="nil"/>
              <w:right w:val="nil"/>
            </w:tcBorders>
            <w:shd w:val="clear" w:color="000000" w:fill="E6B8B7"/>
            <w:noWrap/>
            <w:vAlign w:val="bottom"/>
            <w:hideMark/>
          </w:tcPr>
          <w:p w14:paraId="632CA260"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0.1%</w:t>
            </w:r>
          </w:p>
        </w:tc>
      </w:tr>
      <w:tr w:rsidR="00CC1762" w:rsidRPr="007D0ABE" w14:paraId="15354ACF" w14:textId="77777777" w:rsidTr="005A43C1">
        <w:trPr>
          <w:trHeight w:val="480"/>
        </w:trPr>
        <w:tc>
          <w:tcPr>
            <w:tcW w:w="1721" w:type="dxa"/>
            <w:tcBorders>
              <w:top w:val="nil"/>
              <w:left w:val="single" w:sz="4" w:space="0" w:color="auto"/>
              <w:bottom w:val="nil"/>
              <w:right w:val="nil"/>
            </w:tcBorders>
            <w:shd w:val="clear" w:color="000000" w:fill="C0504D"/>
            <w:vAlign w:val="bottom"/>
            <w:hideMark/>
          </w:tcPr>
          <w:p w14:paraId="3071A6F2"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 xml:space="preserve"> High exposure combinations</w:t>
            </w:r>
          </w:p>
        </w:tc>
        <w:tc>
          <w:tcPr>
            <w:tcW w:w="2717" w:type="dxa"/>
            <w:tcBorders>
              <w:top w:val="nil"/>
              <w:left w:val="nil"/>
              <w:bottom w:val="nil"/>
              <w:right w:val="nil"/>
            </w:tcBorders>
            <w:shd w:val="clear" w:color="000000" w:fill="E6B8B7"/>
            <w:vAlign w:val="bottom"/>
            <w:hideMark/>
          </w:tcPr>
          <w:p w14:paraId="131E53A1"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9:Close_Primarily </w:t>
            </w:r>
            <w:proofErr w:type="spellStart"/>
            <w:r w:rsidRPr="007D0ABE">
              <w:rPr>
                <w:rFonts w:ascii="Calibri" w:eastAsia="Times New Roman" w:hAnsi="Calibri" w:cs="Times New Roman"/>
                <w:color w:val="000000"/>
                <w:sz w:val="18"/>
                <w:szCs w:val="18"/>
              </w:rPr>
              <w:t>indoor_Public</w:t>
            </w:r>
            <w:proofErr w:type="spellEnd"/>
            <w:r w:rsidRPr="007D0ABE">
              <w:rPr>
                <w:rFonts w:ascii="Calibri" w:eastAsia="Times New Roman" w:hAnsi="Calibri" w:cs="Times New Roman"/>
                <w:color w:val="000000"/>
                <w:sz w:val="18"/>
                <w:szCs w:val="18"/>
              </w:rPr>
              <w:t xml:space="preserve"> facing</w:t>
            </w:r>
          </w:p>
        </w:tc>
        <w:tc>
          <w:tcPr>
            <w:tcW w:w="1320" w:type="dxa"/>
            <w:tcBorders>
              <w:top w:val="nil"/>
              <w:left w:val="nil"/>
              <w:bottom w:val="nil"/>
              <w:right w:val="nil"/>
            </w:tcBorders>
            <w:shd w:val="clear" w:color="000000" w:fill="E6B8B7"/>
            <w:noWrap/>
            <w:vAlign w:val="bottom"/>
            <w:hideMark/>
          </w:tcPr>
          <w:p w14:paraId="0D7B066E"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1.7%</w:t>
            </w:r>
          </w:p>
        </w:tc>
        <w:tc>
          <w:tcPr>
            <w:tcW w:w="1451" w:type="dxa"/>
            <w:tcBorders>
              <w:top w:val="nil"/>
              <w:left w:val="nil"/>
              <w:bottom w:val="nil"/>
              <w:right w:val="nil"/>
            </w:tcBorders>
            <w:shd w:val="clear" w:color="000000" w:fill="E6B8B7"/>
            <w:noWrap/>
            <w:vAlign w:val="bottom"/>
            <w:hideMark/>
          </w:tcPr>
          <w:p w14:paraId="43B2739E"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2.5%</w:t>
            </w:r>
          </w:p>
        </w:tc>
        <w:tc>
          <w:tcPr>
            <w:tcW w:w="1320" w:type="dxa"/>
            <w:tcBorders>
              <w:top w:val="nil"/>
              <w:left w:val="nil"/>
              <w:bottom w:val="nil"/>
              <w:right w:val="nil"/>
            </w:tcBorders>
            <w:shd w:val="clear" w:color="000000" w:fill="E6B8B7"/>
            <w:noWrap/>
            <w:vAlign w:val="bottom"/>
            <w:hideMark/>
          </w:tcPr>
          <w:p w14:paraId="300A3D15"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0.7%</w:t>
            </w:r>
          </w:p>
        </w:tc>
        <w:tc>
          <w:tcPr>
            <w:tcW w:w="1451" w:type="dxa"/>
            <w:tcBorders>
              <w:top w:val="nil"/>
              <w:left w:val="nil"/>
              <w:bottom w:val="nil"/>
              <w:right w:val="nil"/>
            </w:tcBorders>
            <w:shd w:val="clear" w:color="000000" w:fill="E6B8B7"/>
            <w:noWrap/>
            <w:vAlign w:val="bottom"/>
            <w:hideMark/>
          </w:tcPr>
          <w:p w14:paraId="13D60973"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0.3%</w:t>
            </w:r>
          </w:p>
        </w:tc>
      </w:tr>
      <w:tr w:rsidR="00CC1762" w:rsidRPr="007D0ABE" w14:paraId="4D5BD797" w14:textId="77777777" w:rsidTr="005A43C1">
        <w:trPr>
          <w:trHeight w:val="480"/>
        </w:trPr>
        <w:tc>
          <w:tcPr>
            <w:tcW w:w="1721" w:type="dxa"/>
            <w:tcBorders>
              <w:top w:val="nil"/>
              <w:left w:val="single" w:sz="4" w:space="0" w:color="auto"/>
              <w:bottom w:val="nil"/>
              <w:right w:val="nil"/>
            </w:tcBorders>
            <w:shd w:val="clear" w:color="000000" w:fill="C0504D"/>
            <w:vAlign w:val="bottom"/>
            <w:hideMark/>
          </w:tcPr>
          <w:p w14:paraId="3883AC5C"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 xml:space="preserve"> High exposure combinations</w:t>
            </w:r>
          </w:p>
        </w:tc>
        <w:tc>
          <w:tcPr>
            <w:tcW w:w="2717" w:type="dxa"/>
            <w:tcBorders>
              <w:top w:val="nil"/>
              <w:left w:val="nil"/>
              <w:bottom w:val="nil"/>
              <w:right w:val="nil"/>
            </w:tcBorders>
            <w:shd w:val="clear" w:color="000000" w:fill="E6B8B7"/>
            <w:vAlign w:val="bottom"/>
            <w:hideMark/>
          </w:tcPr>
          <w:p w14:paraId="2E781200"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17:Somewhat close_ Primarily </w:t>
            </w:r>
            <w:proofErr w:type="spellStart"/>
            <w:r w:rsidRPr="007D0ABE">
              <w:rPr>
                <w:rFonts w:ascii="Calibri" w:eastAsia="Times New Roman" w:hAnsi="Calibri" w:cs="Times New Roman"/>
                <w:color w:val="000000"/>
                <w:sz w:val="18"/>
                <w:szCs w:val="18"/>
              </w:rPr>
              <w:t>indoor_Public</w:t>
            </w:r>
            <w:proofErr w:type="spellEnd"/>
            <w:r w:rsidRPr="007D0ABE">
              <w:rPr>
                <w:rFonts w:ascii="Calibri" w:eastAsia="Times New Roman" w:hAnsi="Calibri" w:cs="Times New Roman"/>
                <w:color w:val="000000"/>
                <w:sz w:val="18"/>
                <w:szCs w:val="18"/>
              </w:rPr>
              <w:t xml:space="preserve"> facing</w:t>
            </w:r>
          </w:p>
        </w:tc>
        <w:tc>
          <w:tcPr>
            <w:tcW w:w="1320" w:type="dxa"/>
            <w:tcBorders>
              <w:top w:val="nil"/>
              <w:left w:val="nil"/>
              <w:bottom w:val="nil"/>
              <w:right w:val="nil"/>
            </w:tcBorders>
            <w:shd w:val="clear" w:color="000000" w:fill="E6B8B7"/>
            <w:noWrap/>
            <w:vAlign w:val="bottom"/>
            <w:hideMark/>
          </w:tcPr>
          <w:p w14:paraId="4F5755E7"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1.4%</w:t>
            </w:r>
          </w:p>
        </w:tc>
        <w:tc>
          <w:tcPr>
            <w:tcW w:w="1451" w:type="dxa"/>
            <w:tcBorders>
              <w:top w:val="nil"/>
              <w:left w:val="nil"/>
              <w:bottom w:val="nil"/>
              <w:right w:val="nil"/>
            </w:tcBorders>
            <w:shd w:val="clear" w:color="000000" w:fill="E6B8B7"/>
            <w:noWrap/>
            <w:vAlign w:val="bottom"/>
            <w:hideMark/>
          </w:tcPr>
          <w:p w14:paraId="648758D4"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0.8%</w:t>
            </w:r>
          </w:p>
        </w:tc>
        <w:tc>
          <w:tcPr>
            <w:tcW w:w="1320" w:type="dxa"/>
            <w:tcBorders>
              <w:top w:val="nil"/>
              <w:left w:val="nil"/>
              <w:bottom w:val="nil"/>
              <w:right w:val="nil"/>
            </w:tcBorders>
            <w:shd w:val="clear" w:color="000000" w:fill="E6B8B7"/>
            <w:noWrap/>
            <w:vAlign w:val="bottom"/>
            <w:hideMark/>
          </w:tcPr>
          <w:p w14:paraId="3767BC05"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1.3%</w:t>
            </w:r>
          </w:p>
        </w:tc>
        <w:tc>
          <w:tcPr>
            <w:tcW w:w="1451" w:type="dxa"/>
            <w:tcBorders>
              <w:top w:val="nil"/>
              <w:left w:val="nil"/>
              <w:bottom w:val="nil"/>
              <w:right w:val="nil"/>
            </w:tcBorders>
            <w:shd w:val="clear" w:color="000000" w:fill="E6B8B7"/>
            <w:noWrap/>
            <w:vAlign w:val="bottom"/>
            <w:hideMark/>
          </w:tcPr>
          <w:p w14:paraId="21A4E116"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0.7%</w:t>
            </w:r>
          </w:p>
        </w:tc>
      </w:tr>
      <w:tr w:rsidR="00CC1762" w:rsidRPr="007D0ABE" w14:paraId="19CA316A" w14:textId="77777777" w:rsidTr="005A43C1">
        <w:trPr>
          <w:trHeight w:val="480"/>
        </w:trPr>
        <w:tc>
          <w:tcPr>
            <w:tcW w:w="1721" w:type="dxa"/>
            <w:tcBorders>
              <w:top w:val="nil"/>
              <w:left w:val="single" w:sz="4" w:space="0" w:color="auto"/>
              <w:bottom w:val="nil"/>
              <w:right w:val="nil"/>
            </w:tcBorders>
            <w:shd w:val="clear" w:color="000000" w:fill="C0504D"/>
            <w:vAlign w:val="bottom"/>
            <w:hideMark/>
          </w:tcPr>
          <w:p w14:paraId="576AAA73"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 xml:space="preserve"> High exposure combinations</w:t>
            </w:r>
          </w:p>
        </w:tc>
        <w:tc>
          <w:tcPr>
            <w:tcW w:w="2717" w:type="dxa"/>
            <w:tcBorders>
              <w:top w:val="nil"/>
              <w:left w:val="nil"/>
              <w:bottom w:val="nil"/>
              <w:right w:val="nil"/>
            </w:tcBorders>
            <w:shd w:val="clear" w:color="000000" w:fill="E6B8B7"/>
            <w:vAlign w:val="bottom"/>
            <w:hideMark/>
          </w:tcPr>
          <w:p w14:paraId="3219DB84"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25:Not </w:t>
            </w:r>
            <w:proofErr w:type="spellStart"/>
            <w:r w:rsidRPr="007D0ABE">
              <w:rPr>
                <w:rFonts w:ascii="Calibri" w:eastAsia="Times New Roman" w:hAnsi="Calibri" w:cs="Times New Roman"/>
                <w:color w:val="000000"/>
                <w:sz w:val="18"/>
                <w:szCs w:val="18"/>
              </w:rPr>
              <w:t>close_Primarily</w:t>
            </w:r>
            <w:proofErr w:type="spellEnd"/>
            <w:r w:rsidRPr="007D0ABE">
              <w:rPr>
                <w:rFonts w:ascii="Calibri" w:eastAsia="Times New Roman" w:hAnsi="Calibri" w:cs="Times New Roman"/>
                <w:color w:val="000000"/>
                <w:sz w:val="18"/>
                <w:szCs w:val="18"/>
              </w:rPr>
              <w:t xml:space="preserve"> </w:t>
            </w:r>
            <w:proofErr w:type="spellStart"/>
            <w:r w:rsidRPr="007D0ABE">
              <w:rPr>
                <w:rFonts w:ascii="Calibri" w:eastAsia="Times New Roman" w:hAnsi="Calibri" w:cs="Times New Roman"/>
                <w:color w:val="000000"/>
                <w:sz w:val="18"/>
                <w:szCs w:val="18"/>
              </w:rPr>
              <w:t>indoor_Public</w:t>
            </w:r>
            <w:proofErr w:type="spellEnd"/>
            <w:r w:rsidRPr="007D0ABE">
              <w:rPr>
                <w:rFonts w:ascii="Calibri" w:eastAsia="Times New Roman" w:hAnsi="Calibri" w:cs="Times New Roman"/>
                <w:color w:val="000000"/>
                <w:sz w:val="18"/>
                <w:szCs w:val="18"/>
              </w:rPr>
              <w:t xml:space="preserve"> facing</w:t>
            </w:r>
          </w:p>
        </w:tc>
        <w:tc>
          <w:tcPr>
            <w:tcW w:w="1320" w:type="dxa"/>
            <w:tcBorders>
              <w:top w:val="nil"/>
              <w:left w:val="nil"/>
              <w:bottom w:val="nil"/>
              <w:right w:val="nil"/>
            </w:tcBorders>
            <w:shd w:val="clear" w:color="000000" w:fill="E6B8B7"/>
            <w:noWrap/>
            <w:vAlign w:val="bottom"/>
            <w:hideMark/>
          </w:tcPr>
          <w:p w14:paraId="25071359"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9.9%</w:t>
            </w:r>
          </w:p>
        </w:tc>
        <w:tc>
          <w:tcPr>
            <w:tcW w:w="1451" w:type="dxa"/>
            <w:tcBorders>
              <w:top w:val="nil"/>
              <w:left w:val="nil"/>
              <w:bottom w:val="nil"/>
              <w:right w:val="nil"/>
            </w:tcBorders>
            <w:shd w:val="clear" w:color="000000" w:fill="E6B8B7"/>
            <w:noWrap/>
            <w:vAlign w:val="bottom"/>
            <w:hideMark/>
          </w:tcPr>
          <w:p w14:paraId="1B7E003F"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4.6%</w:t>
            </w:r>
          </w:p>
        </w:tc>
        <w:tc>
          <w:tcPr>
            <w:tcW w:w="1320" w:type="dxa"/>
            <w:tcBorders>
              <w:top w:val="nil"/>
              <w:left w:val="nil"/>
              <w:bottom w:val="nil"/>
              <w:right w:val="nil"/>
            </w:tcBorders>
            <w:shd w:val="clear" w:color="000000" w:fill="E6B8B7"/>
            <w:noWrap/>
            <w:vAlign w:val="bottom"/>
            <w:hideMark/>
          </w:tcPr>
          <w:p w14:paraId="4BDC2C3B"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8.3%</w:t>
            </w:r>
          </w:p>
        </w:tc>
        <w:tc>
          <w:tcPr>
            <w:tcW w:w="1451" w:type="dxa"/>
            <w:tcBorders>
              <w:top w:val="nil"/>
              <w:left w:val="nil"/>
              <w:bottom w:val="nil"/>
              <w:right w:val="nil"/>
            </w:tcBorders>
            <w:shd w:val="clear" w:color="000000" w:fill="E6B8B7"/>
            <w:noWrap/>
            <w:vAlign w:val="bottom"/>
            <w:hideMark/>
          </w:tcPr>
          <w:p w14:paraId="5899A7E0"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3.9%</w:t>
            </w:r>
          </w:p>
        </w:tc>
      </w:tr>
      <w:tr w:rsidR="00CC1762" w:rsidRPr="007D0ABE" w14:paraId="2E1C0BE0" w14:textId="77777777" w:rsidTr="005A43C1">
        <w:trPr>
          <w:trHeight w:val="480"/>
        </w:trPr>
        <w:tc>
          <w:tcPr>
            <w:tcW w:w="1721" w:type="dxa"/>
            <w:tcBorders>
              <w:top w:val="nil"/>
              <w:left w:val="single" w:sz="4" w:space="0" w:color="auto"/>
              <w:bottom w:val="nil"/>
              <w:right w:val="nil"/>
            </w:tcBorders>
            <w:shd w:val="clear" w:color="000000" w:fill="C0504D"/>
            <w:vAlign w:val="bottom"/>
            <w:hideMark/>
          </w:tcPr>
          <w:p w14:paraId="7CD67EB4"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 xml:space="preserve"> High exposure combinations</w:t>
            </w:r>
          </w:p>
        </w:tc>
        <w:tc>
          <w:tcPr>
            <w:tcW w:w="2717" w:type="dxa"/>
            <w:tcBorders>
              <w:top w:val="nil"/>
              <w:left w:val="nil"/>
              <w:bottom w:val="nil"/>
              <w:right w:val="nil"/>
            </w:tcBorders>
            <w:shd w:val="clear" w:color="000000" w:fill="E6B8B7"/>
            <w:vAlign w:val="bottom"/>
            <w:hideMark/>
          </w:tcPr>
          <w:p w14:paraId="4BC7BF5E" w14:textId="77777777" w:rsidR="00CC1762" w:rsidRPr="007D0ABE" w:rsidRDefault="00CC1762" w:rsidP="009D461A">
            <w:pPr>
              <w:spacing w:after="0" w:line="240" w:lineRule="auto"/>
              <w:rPr>
                <w:rFonts w:ascii="Calibri" w:eastAsia="Times New Roman" w:hAnsi="Calibri" w:cs="Times New Roman"/>
                <w:b/>
                <w:bCs/>
                <w:i/>
                <w:iCs/>
                <w:color w:val="000000"/>
                <w:sz w:val="18"/>
                <w:szCs w:val="18"/>
              </w:rPr>
            </w:pPr>
            <w:r w:rsidRPr="007D0ABE">
              <w:rPr>
                <w:rFonts w:ascii="Calibri" w:eastAsia="Times New Roman" w:hAnsi="Calibri" w:cs="Times New Roman"/>
                <w:b/>
                <w:bCs/>
                <w:i/>
                <w:iCs/>
                <w:color w:val="000000"/>
                <w:sz w:val="18"/>
                <w:szCs w:val="18"/>
              </w:rPr>
              <w:t>High Total</w:t>
            </w:r>
          </w:p>
        </w:tc>
        <w:tc>
          <w:tcPr>
            <w:tcW w:w="1320" w:type="dxa"/>
            <w:tcBorders>
              <w:top w:val="nil"/>
              <w:left w:val="nil"/>
              <w:bottom w:val="nil"/>
              <w:right w:val="nil"/>
            </w:tcBorders>
            <w:shd w:val="clear" w:color="000000" w:fill="E6B8B7"/>
            <w:noWrap/>
            <w:vAlign w:val="bottom"/>
            <w:hideMark/>
          </w:tcPr>
          <w:p w14:paraId="49055C47" w14:textId="77777777" w:rsidR="00CC1762" w:rsidRPr="007D0ABE" w:rsidRDefault="00CC1762" w:rsidP="009D461A">
            <w:pPr>
              <w:spacing w:after="0" w:line="240" w:lineRule="auto"/>
              <w:jc w:val="center"/>
              <w:rPr>
                <w:rFonts w:ascii="Calibri" w:eastAsia="Times New Roman" w:hAnsi="Calibri" w:cs="Times New Roman"/>
                <w:b/>
                <w:bCs/>
                <w:i/>
                <w:iCs/>
                <w:color w:val="000000"/>
                <w:sz w:val="18"/>
                <w:szCs w:val="18"/>
              </w:rPr>
            </w:pPr>
            <w:r w:rsidRPr="007D0ABE">
              <w:rPr>
                <w:rFonts w:ascii="Calibri" w:eastAsia="Times New Roman" w:hAnsi="Calibri" w:cs="Times New Roman"/>
                <w:b/>
                <w:bCs/>
                <w:i/>
                <w:iCs/>
                <w:color w:val="000000"/>
                <w:sz w:val="18"/>
                <w:szCs w:val="18"/>
              </w:rPr>
              <w:t>31.6%</w:t>
            </w:r>
          </w:p>
        </w:tc>
        <w:tc>
          <w:tcPr>
            <w:tcW w:w="1451" w:type="dxa"/>
            <w:tcBorders>
              <w:top w:val="nil"/>
              <w:left w:val="nil"/>
              <w:bottom w:val="nil"/>
              <w:right w:val="nil"/>
            </w:tcBorders>
            <w:shd w:val="clear" w:color="000000" w:fill="E6B8B7"/>
            <w:noWrap/>
            <w:vAlign w:val="bottom"/>
            <w:hideMark/>
          </w:tcPr>
          <w:p w14:paraId="6DB1F58B" w14:textId="77777777" w:rsidR="00CC1762" w:rsidRPr="007D0ABE" w:rsidRDefault="00CC1762" w:rsidP="009D461A">
            <w:pPr>
              <w:spacing w:after="0" w:line="240" w:lineRule="auto"/>
              <w:jc w:val="center"/>
              <w:rPr>
                <w:rFonts w:ascii="Calibri" w:eastAsia="Times New Roman" w:hAnsi="Calibri" w:cs="Times New Roman"/>
                <w:b/>
                <w:bCs/>
                <w:i/>
                <w:iCs/>
                <w:color w:val="000000"/>
                <w:sz w:val="18"/>
                <w:szCs w:val="18"/>
              </w:rPr>
            </w:pPr>
            <w:r w:rsidRPr="007D0ABE">
              <w:rPr>
                <w:rFonts w:ascii="Calibri" w:eastAsia="Times New Roman" w:hAnsi="Calibri" w:cs="Times New Roman"/>
                <w:b/>
                <w:bCs/>
                <w:i/>
                <w:iCs/>
                <w:color w:val="000000"/>
                <w:sz w:val="18"/>
                <w:szCs w:val="18"/>
              </w:rPr>
              <w:t>39.6%</w:t>
            </w:r>
          </w:p>
        </w:tc>
        <w:tc>
          <w:tcPr>
            <w:tcW w:w="1320" w:type="dxa"/>
            <w:tcBorders>
              <w:top w:val="nil"/>
              <w:left w:val="nil"/>
              <w:bottom w:val="nil"/>
              <w:right w:val="nil"/>
            </w:tcBorders>
            <w:shd w:val="clear" w:color="000000" w:fill="E6B8B7"/>
            <w:noWrap/>
            <w:vAlign w:val="bottom"/>
            <w:hideMark/>
          </w:tcPr>
          <w:p w14:paraId="5F25C8F6" w14:textId="77777777" w:rsidR="00CC1762" w:rsidRPr="007D0ABE" w:rsidRDefault="00CC1762" w:rsidP="009D461A">
            <w:pPr>
              <w:spacing w:after="0" w:line="240" w:lineRule="auto"/>
              <w:jc w:val="center"/>
              <w:rPr>
                <w:rFonts w:ascii="Calibri" w:eastAsia="Times New Roman" w:hAnsi="Calibri" w:cs="Times New Roman"/>
                <w:b/>
                <w:bCs/>
                <w:i/>
                <w:iCs/>
                <w:color w:val="000000"/>
                <w:sz w:val="18"/>
                <w:szCs w:val="18"/>
              </w:rPr>
            </w:pPr>
            <w:r w:rsidRPr="007D0ABE">
              <w:rPr>
                <w:rFonts w:ascii="Calibri" w:eastAsia="Times New Roman" w:hAnsi="Calibri" w:cs="Times New Roman"/>
                <w:b/>
                <w:bCs/>
                <w:i/>
                <w:iCs/>
                <w:color w:val="000000"/>
                <w:sz w:val="18"/>
                <w:szCs w:val="18"/>
              </w:rPr>
              <w:t>39.7%</w:t>
            </w:r>
          </w:p>
        </w:tc>
        <w:tc>
          <w:tcPr>
            <w:tcW w:w="1451" w:type="dxa"/>
            <w:tcBorders>
              <w:top w:val="nil"/>
              <w:left w:val="nil"/>
              <w:bottom w:val="nil"/>
              <w:right w:val="nil"/>
            </w:tcBorders>
            <w:shd w:val="clear" w:color="000000" w:fill="E6B8B7"/>
            <w:noWrap/>
            <w:vAlign w:val="bottom"/>
            <w:hideMark/>
          </w:tcPr>
          <w:p w14:paraId="479B5BC2" w14:textId="77777777" w:rsidR="00CC1762" w:rsidRPr="007D0ABE" w:rsidRDefault="00CC1762" w:rsidP="009D461A">
            <w:pPr>
              <w:spacing w:after="0" w:line="240" w:lineRule="auto"/>
              <w:jc w:val="center"/>
              <w:rPr>
                <w:rFonts w:ascii="Calibri" w:eastAsia="Times New Roman" w:hAnsi="Calibri" w:cs="Times New Roman"/>
                <w:b/>
                <w:bCs/>
                <w:i/>
                <w:iCs/>
                <w:color w:val="000000"/>
                <w:sz w:val="18"/>
                <w:szCs w:val="18"/>
              </w:rPr>
            </w:pPr>
            <w:r w:rsidRPr="007D0ABE">
              <w:rPr>
                <w:rFonts w:ascii="Calibri" w:eastAsia="Times New Roman" w:hAnsi="Calibri" w:cs="Times New Roman"/>
                <w:b/>
                <w:bCs/>
                <w:i/>
                <w:iCs/>
                <w:color w:val="000000"/>
                <w:sz w:val="18"/>
                <w:szCs w:val="18"/>
              </w:rPr>
              <w:t>55.3%</w:t>
            </w:r>
          </w:p>
        </w:tc>
      </w:tr>
      <w:tr w:rsidR="00CC1762" w:rsidRPr="007D0ABE" w14:paraId="361E6256" w14:textId="77777777" w:rsidTr="005A43C1">
        <w:trPr>
          <w:trHeight w:val="480"/>
        </w:trPr>
        <w:tc>
          <w:tcPr>
            <w:tcW w:w="1721" w:type="dxa"/>
            <w:tcBorders>
              <w:top w:val="nil"/>
              <w:left w:val="nil"/>
              <w:bottom w:val="nil"/>
              <w:right w:val="nil"/>
            </w:tcBorders>
            <w:shd w:val="clear" w:color="000000" w:fill="E26B0A"/>
            <w:vAlign w:val="bottom"/>
            <w:hideMark/>
          </w:tcPr>
          <w:p w14:paraId="05006785"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Medium exposure combinations</w:t>
            </w:r>
          </w:p>
        </w:tc>
        <w:tc>
          <w:tcPr>
            <w:tcW w:w="2717" w:type="dxa"/>
            <w:tcBorders>
              <w:top w:val="nil"/>
              <w:left w:val="nil"/>
              <w:bottom w:val="nil"/>
              <w:right w:val="nil"/>
            </w:tcBorders>
            <w:shd w:val="clear" w:color="000000" w:fill="FCD5B4"/>
            <w:vAlign w:val="bottom"/>
            <w:hideMark/>
          </w:tcPr>
          <w:p w14:paraId="7B90164E"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4:Very </w:t>
            </w:r>
            <w:proofErr w:type="spellStart"/>
            <w:r w:rsidRPr="007D0ABE">
              <w:rPr>
                <w:rFonts w:ascii="Calibri" w:eastAsia="Times New Roman" w:hAnsi="Calibri" w:cs="Times New Roman"/>
                <w:color w:val="000000"/>
                <w:sz w:val="18"/>
                <w:szCs w:val="18"/>
              </w:rPr>
              <w:t>close_Oft</w:t>
            </w:r>
            <w:proofErr w:type="spellEnd"/>
            <w:r w:rsidRPr="007D0ABE">
              <w:rPr>
                <w:rFonts w:ascii="Calibri" w:eastAsia="Times New Roman" w:hAnsi="Calibri" w:cs="Times New Roman"/>
                <w:color w:val="000000"/>
                <w:sz w:val="18"/>
                <w:szCs w:val="18"/>
              </w:rPr>
              <w:t xml:space="preserve"> </w:t>
            </w:r>
            <w:proofErr w:type="spellStart"/>
            <w:r w:rsidRPr="007D0ABE">
              <w:rPr>
                <w:rFonts w:ascii="Calibri" w:eastAsia="Times New Roman" w:hAnsi="Calibri" w:cs="Times New Roman"/>
                <w:color w:val="000000"/>
                <w:sz w:val="18"/>
                <w:szCs w:val="18"/>
              </w:rPr>
              <w:t>indoor_Not</w:t>
            </w:r>
            <w:proofErr w:type="spellEnd"/>
            <w:r w:rsidRPr="007D0ABE">
              <w:rPr>
                <w:rFonts w:ascii="Calibri" w:eastAsia="Times New Roman" w:hAnsi="Calibri" w:cs="Times New Roman"/>
                <w:color w:val="000000"/>
                <w:sz w:val="18"/>
                <w:szCs w:val="18"/>
              </w:rPr>
              <w:t xml:space="preserve"> public facing</w:t>
            </w:r>
          </w:p>
        </w:tc>
        <w:tc>
          <w:tcPr>
            <w:tcW w:w="1320" w:type="dxa"/>
            <w:tcBorders>
              <w:top w:val="nil"/>
              <w:left w:val="nil"/>
              <w:bottom w:val="nil"/>
              <w:right w:val="nil"/>
            </w:tcBorders>
            <w:shd w:val="clear" w:color="000000" w:fill="FCD5B4"/>
            <w:noWrap/>
            <w:vAlign w:val="bottom"/>
            <w:hideMark/>
          </w:tcPr>
          <w:p w14:paraId="61B4A8FE"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2.7%</w:t>
            </w:r>
          </w:p>
        </w:tc>
        <w:tc>
          <w:tcPr>
            <w:tcW w:w="1451" w:type="dxa"/>
            <w:tcBorders>
              <w:top w:val="nil"/>
              <w:left w:val="nil"/>
              <w:bottom w:val="nil"/>
              <w:right w:val="nil"/>
            </w:tcBorders>
            <w:shd w:val="clear" w:color="000000" w:fill="FCD5B4"/>
            <w:noWrap/>
            <w:vAlign w:val="bottom"/>
            <w:hideMark/>
          </w:tcPr>
          <w:p w14:paraId="6AC3FF73"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4.6%</w:t>
            </w:r>
          </w:p>
        </w:tc>
        <w:tc>
          <w:tcPr>
            <w:tcW w:w="1320" w:type="dxa"/>
            <w:tcBorders>
              <w:top w:val="nil"/>
              <w:left w:val="nil"/>
              <w:bottom w:val="nil"/>
              <w:right w:val="nil"/>
            </w:tcBorders>
            <w:shd w:val="clear" w:color="000000" w:fill="FCD5B4"/>
            <w:noWrap/>
            <w:vAlign w:val="bottom"/>
            <w:hideMark/>
          </w:tcPr>
          <w:p w14:paraId="7C2BBD2F"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5.9%</w:t>
            </w:r>
          </w:p>
        </w:tc>
        <w:tc>
          <w:tcPr>
            <w:tcW w:w="1451" w:type="dxa"/>
            <w:tcBorders>
              <w:top w:val="nil"/>
              <w:left w:val="nil"/>
              <w:bottom w:val="nil"/>
              <w:right w:val="nil"/>
            </w:tcBorders>
            <w:shd w:val="clear" w:color="000000" w:fill="FCD5B4"/>
            <w:noWrap/>
            <w:vAlign w:val="bottom"/>
            <w:hideMark/>
          </w:tcPr>
          <w:p w14:paraId="3505AF2F"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5.9%</w:t>
            </w:r>
          </w:p>
        </w:tc>
      </w:tr>
      <w:tr w:rsidR="00CC1762" w:rsidRPr="007D0ABE" w14:paraId="2ED46F7D" w14:textId="77777777" w:rsidTr="005A43C1">
        <w:trPr>
          <w:trHeight w:val="480"/>
        </w:trPr>
        <w:tc>
          <w:tcPr>
            <w:tcW w:w="1721" w:type="dxa"/>
            <w:tcBorders>
              <w:top w:val="nil"/>
              <w:left w:val="nil"/>
              <w:bottom w:val="nil"/>
              <w:right w:val="nil"/>
            </w:tcBorders>
            <w:shd w:val="clear" w:color="000000" w:fill="E26B0A"/>
            <w:vAlign w:val="bottom"/>
            <w:hideMark/>
          </w:tcPr>
          <w:p w14:paraId="46AF42ED"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Medium exposure combinations</w:t>
            </w:r>
          </w:p>
        </w:tc>
        <w:tc>
          <w:tcPr>
            <w:tcW w:w="2717" w:type="dxa"/>
            <w:tcBorders>
              <w:top w:val="nil"/>
              <w:left w:val="nil"/>
              <w:bottom w:val="nil"/>
              <w:right w:val="nil"/>
            </w:tcBorders>
            <w:shd w:val="clear" w:color="000000" w:fill="FCD5B4"/>
            <w:vAlign w:val="bottom"/>
            <w:hideMark/>
          </w:tcPr>
          <w:p w14:paraId="4CA75517"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6:Very </w:t>
            </w:r>
            <w:proofErr w:type="spellStart"/>
            <w:r w:rsidRPr="007D0ABE">
              <w:rPr>
                <w:rFonts w:ascii="Calibri" w:eastAsia="Times New Roman" w:hAnsi="Calibri" w:cs="Times New Roman"/>
                <w:color w:val="000000"/>
                <w:sz w:val="18"/>
                <w:szCs w:val="18"/>
              </w:rPr>
              <w:t>close_Oft</w:t>
            </w:r>
            <w:proofErr w:type="spellEnd"/>
            <w:r w:rsidRPr="007D0ABE">
              <w:rPr>
                <w:rFonts w:ascii="Calibri" w:eastAsia="Times New Roman" w:hAnsi="Calibri" w:cs="Times New Roman"/>
                <w:color w:val="000000"/>
                <w:sz w:val="18"/>
                <w:szCs w:val="18"/>
              </w:rPr>
              <w:t xml:space="preserve"> </w:t>
            </w:r>
            <w:proofErr w:type="spellStart"/>
            <w:r w:rsidRPr="007D0ABE">
              <w:rPr>
                <w:rFonts w:ascii="Calibri" w:eastAsia="Times New Roman" w:hAnsi="Calibri" w:cs="Times New Roman"/>
                <w:color w:val="000000"/>
                <w:sz w:val="18"/>
                <w:szCs w:val="18"/>
              </w:rPr>
              <w:t>outdoor_Not</w:t>
            </w:r>
            <w:proofErr w:type="spellEnd"/>
            <w:r w:rsidRPr="007D0ABE">
              <w:rPr>
                <w:rFonts w:ascii="Calibri" w:eastAsia="Times New Roman" w:hAnsi="Calibri" w:cs="Times New Roman"/>
                <w:color w:val="000000"/>
                <w:sz w:val="18"/>
                <w:szCs w:val="18"/>
              </w:rPr>
              <w:t xml:space="preserve"> public facing</w:t>
            </w:r>
          </w:p>
        </w:tc>
        <w:tc>
          <w:tcPr>
            <w:tcW w:w="1320" w:type="dxa"/>
            <w:tcBorders>
              <w:top w:val="nil"/>
              <w:left w:val="nil"/>
              <w:bottom w:val="nil"/>
              <w:right w:val="nil"/>
            </w:tcBorders>
            <w:shd w:val="clear" w:color="000000" w:fill="FCD5B4"/>
            <w:noWrap/>
            <w:vAlign w:val="bottom"/>
            <w:hideMark/>
          </w:tcPr>
          <w:p w14:paraId="4A7828C6"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2.2%</w:t>
            </w:r>
          </w:p>
        </w:tc>
        <w:tc>
          <w:tcPr>
            <w:tcW w:w="1451" w:type="dxa"/>
            <w:tcBorders>
              <w:top w:val="nil"/>
              <w:left w:val="nil"/>
              <w:bottom w:val="nil"/>
              <w:right w:val="nil"/>
            </w:tcBorders>
            <w:shd w:val="clear" w:color="000000" w:fill="FCD5B4"/>
            <w:noWrap/>
            <w:vAlign w:val="bottom"/>
            <w:hideMark/>
          </w:tcPr>
          <w:p w14:paraId="7EC11076"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1.8%</w:t>
            </w:r>
          </w:p>
        </w:tc>
        <w:tc>
          <w:tcPr>
            <w:tcW w:w="1320" w:type="dxa"/>
            <w:tcBorders>
              <w:top w:val="nil"/>
              <w:left w:val="nil"/>
              <w:bottom w:val="nil"/>
              <w:right w:val="nil"/>
            </w:tcBorders>
            <w:shd w:val="clear" w:color="000000" w:fill="FCD5B4"/>
            <w:noWrap/>
            <w:vAlign w:val="bottom"/>
            <w:hideMark/>
          </w:tcPr>
          <w:p w14:paraId="4FA18B95"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4.6%</w:t>
            </w:r>
          </w:p>
        </w:tc>
        <w:tc>
          <w:tcPr>
            <w:tcW w:w="1451" w:type="dxa"/>
            <w:tcBorders>
              <w:top w:val="nil"/>
              <w:left w:val="nil"/>
              <w:bottom w:val="nil"/>
              <w:right w:val="nil"/>
            </w:tcBorders>
            <w:shd w:val="clear" w:color="000000" w:fill="FCD5B4"/>
            <w:noWrap/>
            <w:vAlign w:val="bottom"/>
            <w:hideMark/>
          </w:tcPr>
          <w:p w14:paraId="0374B1C4"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3.1%</w:t>
            </w:r>
          </w:p>
        </w:tc>
      </w:tr>
      <w:tr w:rsidR="00CC1762" w:rsidRPr="007D0ABE" w14:paraId="4DCE3F74" w14:textId="77777777" w:rsidTr="005A43C1">
        <w:trPr>
          <w:trHeight w:val="480"/>
        </w:trPr>
        <w:tc>
          <w:tcPr>
            <w:tcW w:w="1721" w:type="dxa"/>
            <w:tcBorders>
              <w:top w:val="nil"/>
              <w:left w:val="nil"/>
              <w:bottom w:val="nil"/>
              <w:right w:val="nil"/>
            </w:tcBorders>
            <w:shd w:val="clear" w:color="000000" w:fill="E26B0A"/>
            <w:vAlign w:val="bottom"/>
            <w:hideMark/>
          </w:tcPr>
          <w:p w14:paraId="26C5EC99"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Medium exposure combinations</w:t>
            </w:r>
          </w:p>
        </w:tc>
        <w:tc>
          <w:tcPr>
            <w:tcW w:w="2717" w:type="dxa"/>
            <w:tcBorders>
              <w:top w:val="nil"/>
              <w:left w:val="nil"/>
              <w:bottom w:val="nil"/>
              <w:right w:val="nil"/>
            </w:tcBorders>
            <w:shd w:val="clear" w:color="000000" w:fill="FCD5B4"/>
            <w:vAlign w:val="bottom"/>
            <w:hideMark/>
          </w:tcPr>
          <w:p w14:paraId="1212696D"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8:Very close _Primarily </w:t>
            </w:r>
            <w:proofErr w:type="spellStart"/>
            <w:r w:rsidRPr="007D0ABE">
              <w:rPr>
                <w:rFonts w:ascii="Calibri" w:eastAsia="Times New Roman" w:hAnsi="Calibri" w:cs="Times New Roman"/>
                <w:color w:val="000000"/>
                <w:sz w:val="18"/>
                <w:szCs w:val="18"/>
              </w:rPr>
              <w:t>outdoor_Not</w:t>
            </w:r>
            <w:proofErr w:type="spellEnd"/>
            <w:r w:rsidRPr="007D0ABE">
              <w:rPr>
                <w:rFonts w:ascii="Calibri" w:eastAsia="Times New Roman" w:hAnsi="Calibri" w:cs="Times New Roman"/>
                <w:color w:val="000000"/>
                <w:sz w:val="18"/>
                <w:szCs w:val="18"/>
              </w:rPr>
              <w:t xml:space="preserve"> public facing</w:t>
            </w:r>
          </w:p>
        </w:tc>
        <w:tc>
          <w:tcPr>
            <w:tcW w:w="1320" w:type="dxa"/>
            <w:tcBorders>
              <w:top w:val="nil"/>
              <w:left w:val="nil"/>
              <w:bottom w:val="nil"/>
              <w:right w:val="nil"/>
            </w:tcBorders>
            <w:shd w:val="clear" w:color="000000" w:fill="FCD5B4"/>
            <w:noWrap/>
            <w:vAlign w:val="bottom"/>
            <w:hideMark/>
          </w:tcPr>
          <w:p w14:paraId="676324C8"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3.3%</w:t>
            </w:r>
          </w:p>
        </w:tc>
        <w:tc>
          <w:tcPr>
            <w:tcW w:w="1451" w:type="dxa"/>
            <w:tcBorders>
              <w:top w:val="nil"/>
              <w:left w:val="nil"/>
              <w:bottom w:val="nil"/>
              <w:right w:val="nil"/>
            </w:tcBorders>
            <w:shd w:val="clear" w:color="000000" w:fill="FCD5B4"/>
            <w:noWrap/>
            <w:vAlign w:val="bottom"/>
            <w:hideMark/>
          </w:tcPr>
          <w:p w14:paraId="6186F09C"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1.5%</w:t>
            </w:r>
          </w:p>
        </w:tc>
        <w:tc>
          <w:tcPr>
            <w:tcW w:w="1320" w:type="dxa"/>
            <w:tcBorders>
              <w:top w:val="nil"/>
              <w:left w:val="nil"/>
              <w:bottom w:val="nil"/>
              <w:right w:val="nil"/>
            </w:tcBorders>
            <w:shd w:val="clear" w:color="000000" w:fill="FCD5B4"/>
            <w:noWrap/>
            <w:vAlign w:val="bottom"/>
            <w:hideMark/>
          </w:tcPr>
          <w:p w14:paraId="10C9765A"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4.2%</w:t>
            </w:r>
          </w:p>
        </w:tc>
        <w:tc>
          <w:tcPr>
            <w:tcW w:w="1451" w:type="dxa"/>
            <w:tcBorders>
              <w:top w:val="nil"/>
              <w:left w:val="nil"/>
              <w:bottom w:val="nil"/>
              <w:right w:val="nil"/>
            </w:tcBorders>
            <w:shd w:val="clear" w:color="000000" w:fill="FCD5B4"/>
            <w:noWrap/>
            <w:vAlign w:val="bottom"/>
            <w:hideMark/>
          </w:tcPr>
          <w:p w14:paraId="1BCE20D5"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1.5%</w:t>
            </w:r>
          </w:p>
        </w:tc>
      </w:tr>
      <w:tr w:rsidR="00CC1762" w:rsidRPr="007D0ABE" w14:paraId="40DF2920" w14:textId="77777777" w:rsidTr="005A43C1">
        <w:trPr>
          <w:trHeight w:val="480"/>
        </w:trPr>
        <w:tc>
          <w:tcPr>
            <w:tcW w:w="1721" w:type="dxa"/>
            <w:tcBorders>
              <w:top w:val="nil"/>
              <w:left w:val="nil"/>
              <w:bottom w:val="nil"/>
              <w:right w:val="nil"/>
            </w:tcBorders>
            <w:shd w:val="clear" w:color="000000" w:fill="E26B0A"/>
            <w:vAlign w:val="bottom"/>
            <w:hideMark/>
          </w:tcPr>
          <w:p w14:paraId="7C652831"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Medium exposure combinations</w:t>
            </w:r>
          </w:p>
        </w:tc>
        <w:tc>
          <w:tcPr>
            <w:tcW w:w="2717" w:type="dxa"/>
            <w:tcBorders>
              <w:top w:val="nil"/>
              <w:left w:val="nil"/>
              <w:bottom w:val="nil"/>
              <w:right w:val="nil"/>
            </w:tcBorders>
            <w:shd w:val="clear" w:color="000000" w:fill="FCD5B4"/>
            <w:vAlign w:val="bottom"/>
            <w:hideMark/>
          </w:tcPr>
          <w:p w14:paraId="4FC3E4F3"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10:Close_Primarily </w:t>
            </w:r>
            <w:proofErr w:type="spellStart"/>
            <w:r w:rsidRPr="007D0ABE">
              <w:rPr>
                <w:rFonts w:ascii="Calibri" w:eastAsia="Times New Roman" w:hAnsi="Calibri" w:cs="Times New Roman"/>
                <w:color w:val="000000"/>
                <w:sz w:val="18"/>
                <w:szCs w:val="18"/>
              </w:rPr>
              <w:t>indoor_Not</w:t>
            </w:r>
            <w:proofErr w:type="spellEnd"/>
            <w:r w:rsidRPr="007D0ABE">
              <w:rPr>
                <w:rFonts w:ascii="Calibri" w:eastAsia="Times New Roman" w:hAnsi="Calibri" w:cs="Times New Roman"/>
                <w:color w:val="000000"/>
                <w:sz w:val="18"/>
                <w:szCs w:val="18"/>
              </w:rPr>
              <w:t xml:space="preserve"> public facing</w:t>
            </w:r>
          </w:p>
        </w:tc>
        <w:tc>
          <w:tcPr>
            <w:tcW w:w="1320" w:type="dxa"/>
            <w:tcBorders>
              <w:top w:val="nil"/>
              <w:left w:val="nil"/>
              <w:bottom w:val="nil"/>
              <w:right w:val="nil"/>
            </w:tcBorders>
            <w:shd w:val="clear" w:color="000000" w:fill="FCD5B4"/>
            <w:noWrap/>
            <w:vAlign w:val="bottom"/>
            <w:hideMark/>
          </w:tcPr>
          <w:p w14:paraId="29330F94"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3.0%</w:t>
            </w:r>
          </w:p>
        </w:tc>
        <w:tc>
          <w:tcPr>
            <w:tcW w:w="1451" w:type="dxa"/>
            <w:tcBorders>
              <w:top w:val="nil"/>
              <w:left w:val="nil"/>
              <w:bottom w:val="nil"/>
              <w:right w:val="nil"/>
            </w:tcBorders>
            <w:shd w:val="clear" w:color="000000" w:fill="FCD5B4"/>
            <w:noWrap/>
            <w:vAlign w:val="bottom"/>
            <w:hideMark/>
          </w:tcPr>
          <w:p w14:paraId="26E95751"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8.3%</w:t>
            </w:r>
          </w:p>
        </w:tc>
        <w:tc>
          <w:tcPr>
            <w:tcW w:w="1320" w:type="dxa"/>
            <w:tcBorders>
              <w:top w:val="nil"/>
              <w:left w:val="nil"/>
              <w:bottom w:val="nil"/>
              <w:right w:val="nil"/>
            </w:tcBorders>
            <w:shd w:val="clear" w:color="000000" w:fill="FCD5B4"/>
            <w:noWrap/>
            <w:vAlign w:val="bottom"/>
            <w:hideMark/>
          </w:tcPr>
          <w:p w14:paraId="60C77AE4"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3.0%</w:t>
            </w:r>
          </w:p>
        </w:tc>
        <w:tc>
          <w:tcPr>
            <w:tcW w:w="1451" w:type="dxa"/>
            <w:tcBorders>
              <w:top w:val="nil"/>
              <w:left w:val="nil"/>
              <w:bottom w:val="nil"/>
              <w:right w:val="nil"/>
            </w:tcBorders>
            <w:shd w:val="clear" w:color="000000" w:fill="FCD5B4"/>
            <w:noWrap/>
            <w:vAlign w:val="bottom"/>
            <w:hideMark/>
          </w:tcPr>
          <w:p w14:paraId="5FC26D12"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4.6%</w:t>
            </w:r>
          </w:p>
        </w:tc>
      </w:tr>
      <w:tr w:rsidR="00CC1762" w:rsidRPr="007D0ABE" w14:paraId="599D5D68" w14:textId="77777777" w:rsidTr="005A43C1">
        <w:trPr>
          <w:trHeight w:val="480"/>
        </w:trPr>
        <w:tc>
          <w:tcPr>
            <w:tcW w:w="1721" w:type="dxa"/>
            <w:tcBorders>
              <w:top w:val="nil"/>
              <w:left w:val="nil"/>
              <w:bottom w:val="nil"/>
              <w:right w:val="nil"/>
            </w:tcBorders>
            <w:shd w:val="clear" w:color="000000" w:fill="E26B0A"/>
            <w:vAlign w:val="bottom"/>
            <w:hideMark/>
          </w:tcPr>
          <w:p w14:paraId="4C398572"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Medium exposure combinations</w:t>
            </w:r>
          </w:p>
        </w:tc>
        <w:tc>
          <w:tcPr>
            <w:tcW w:w="2717" w:type="dxa"/>
            <w:tcBorders>
              <w:top w:val="nil"/>
              <w:left w:val="nil"/>
              <w:bottom w:val="nil"/>
              <w:right w:val="nil"/>
            </w:tcBorders>
            <w:shd w:val="clear" w:color="000000" w:fill="FCD5B4"/>
            <w:vAlign w:val="bottom"/>
            <w:hideMark/>
          </w:tcPr>
          <w:p w14:paraId="55C13191"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11:Close_Oft </w:t>
            </w:r>
            <w:proofErr w:type="spellStart"/>
            <w:r w:rsidRPr="007D0ABE">
              <w:rPr>
                <w:rFonts w:ascii="Calibri" w:eastAsia="Times New Roman" w:hAnsi="Calibri" w:cs="Times New Roman"/>
                <w:color w:val="000000"/>
                <w:sz w:val="18"/>
                <w:szCs w:val="18"/>
              </w:rPr>
              <w:t>indoor_Public</w:t>
            </w:r>
            <w:proofErr w:type="spellEnd"/>
            <w:r w:rsidRPr="007D0ABE">
              <w:rPr>
                <w:rFonts w:ascii="Calibri" w:eastAsia="Times New Roman" w:hAnsi="Calibri" w:cs="Times New Roman"/>
                <w:color w:val="000000"/>
                <w:sz w:val="18"/>
                <w:szCs w:val="18"/>
              </w:rPr>
              <w:t xml:space="preserve"> facing</w:t>
            </w:r>
          </w:p>
        </w:tc>
        <w:tc>
          <w:tcPr>
            <w:tcW w:w="1320" w:type="dxa"/>
            <w:tcBorders>
              <w:top w:val="nil"/>
              <w:left w:val="nil"/>
              <w:bottom w:val="nil"/>
              <w:right w:val="nil"/>
            </w:tcBorders>
            <w:shd w:val="clear" w:color="000000" w:fill="FCD5B4"/>
            <w:noWrap/>
            <w:vAlign w:val="bottom"/>
            <w:hideMark/>
          </w:tcPr>
          <w:p w14:paraId="6F9768A1"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0.3%</w:t>
            </w:r>
          </w:p>
        </w:tc>
        <w:tc>
          <w:tcPr>
            <w:tcW w:w="1451" w:type="dxa"/>
            <w:tcBorders>
              <w:top w:val="nil"/>
              <w:left w:val="nil"/>
              <w:bottom w:val="nil"/>
              <w:right w:val="nil"/>
            </w:tcBorders>
            <w:shd w:val="clear" w:color="000000" w:fill="FCD5B4"/>
            <w:noWrap/>
            <w:vAlign w:val="bottom"/>
            <w:hideMark/>
          </w:tcPr>
          <w:p w14:paraId="1E95EA57"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0.0%</w:t>
            </w:r>
          </w:p>
        </w:tc>
        <w:tc>
          <w:tcPr>
            <w:tcW w:w="1320" w:type="dxa"/>
            <w:tcBorders>
              <w:top w:val="nil"/>
              <w:left w:val="nil"/>
              <w:bottom w:val="nil"/>
              <w:right w:val="nil"/>
            </w:tcBorders>
            <w:shd w:val="clear" w:color="000000" w:fill="FCD5B4"/>
            <w:noWrap/>
            <w:vAlign w:val="bottom"/>
            <w:hideMark/>
          </w:tcPr>
          <w:p w14:paraId="784BDD33"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0.3%</w:t>
            </w:r>
          </w:p>
        </w:tc>
        <w:tc>
          <w:tcPr>
            <w:tcW w:w="1451" w:type="dxa"/>
            <w:tcBorders>
              <w:top w:val="nil"/>
              <w:left w:val="nil"/>
              <w:bottom w:val="nil"/>
              <w:right w:val="nil"/>
            </w:tcBorders>
            <w:shd w:val="clear" w:color="000000" w:fill="FCD5B4"/>
            <w:noWrap/>
            <w:vAlign w:val="bottom"/>
            <w:hideMark/>
          </w:tcPr>
          <w:p w14:paraId="1171E651"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0.0%</w:t>
            </w:r>
          </w:p>
        </w:tc>
      </w:tr>
      <w:tr w:rsidR="00CC1762" w:rsidRPr="007D0ABE" w14:paraId="665D310B" w14:textId="77777777" w:rsidTr="005A43C1">
        <w:trPr>
          <w:trHeight w:val="480"/>
        </w:trPr>
        <w:tc>
          <w:tcPr>
            <w:tcW w:w="1721" w:type="dxa"/>
            <w:tcBorders>
              <w:top w:val="nil"/>
              <w:left w:val="nil"/>
              <w:bottom w:val="nil"/>
              <w:right w:val="nil"/>
            </w:tcBorders>
            <w:shd w:val="clear" w:color="000000" w:fill="E26B0A"/>
            <w:vAlign w:val="bottom"/>
            <w:hideMark/>
          </w:tcPr>
          <w:p w14:paraId="05155087"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Medium exposure combinations</w:t>
            </w:r>
          </w:p>
        </w:tc>
        <w:tc>
          <w:tcPr>
            <w:tcW w:w="2717" w:type="dxa"/>
            <w:tcBorders>
              <w:top w:val="nil"/>
              <w:left w:val="nil"/>
              <w:bottom w:val="nil"/>
              <w:right w:val="nil"/>
            </w:tcBorders>
            <w:shd w:val="clear" w:color="000000" w:fill="FCD5B4"/>
            <w:vAlign w:val="bottom"/>
            <w:hideMark/>
          </w:tcPr>
          <w:p w14:paraId="1DBEF42E"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12:Close_Oft </w:t>
            </w:r>
            <w:proofErr w:type="spellStart"/>
            <w:r w:rsidRPr="007D0ABE">
              <w:rPr>
                <w:rFonts w:ascii="Calibri" w:eastAsia="Times New Roman" w:hAnsi="Calibri" w:cs="Times New Roman"/>
                <w:color w:val="000000"/>
                <w:sz w:val="18"/>
                <w:szCs w:val="18"/>
              </w:rPr>
              <w:t>indoor_Not</w:t>
            </w:r>
            <w:proofErr w:type="spellEnd"/>
            <w:r w:rsidRPr="007D0ABE">
              <w:rPr>
                <w:rFonts w:ascii="Calibri" w:eastAsia="Times New Roman" w:hAnsi="Calibri" w:cs="Times New Roman"/>
                <w:color w:val="000000"/>
                <w:sz w:val="18"/>
                <w:szCs w:val="18"/>
              </w:rPr>
              <w:t xml:space="preserve"> public facing</w:t>
            </w:r>
          </w:p>
        </w:tc>
        <w:tc>
          <w:tcPr>
            <w:tcW w:w="1320" w:type="dxa"/>
            <w:tcBorders>
              <w:top w:val="nil"/>
              <w:left w:val="nil"/>
              <w:bottom w:val="nil"/>
              <w:right w:val="nil"/>
            </w:tcBorders>
            <w:shd w:val="clear" w:color="000000" w:fill="FCD5B4"/>
            <w:noWrap/>
            <w:vAlign w:val="bottom"/>
            <w:hideMark/>
          </w:tcPr>
          <w:p w14:paraId="41AA57D6"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1.0%</w:t>
            </w:r>
          </w:p>
        </w:tc>
        <w:tc>
          <w:tcPr>
            <w:tcW w:w="1451" w:type="dxa"/>
            <w:tcBorders>
              <w:top w:val="nil"/>
              <w:left w:val="nil"/>
              <w:bottom w:val="nil"/>
              <w:right w:val="nil"/>
            </w:tcBorders>
            <w:shd w:val="clear" w:color="000000" w:fill="FCD5B4"/>
            <w:noWrap/>
            <w:vAlign w:val="bottom"/>
            <w:hideMark/>
          </w:tcPr>
          <w:p w14:paraId="3EF87F63"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1.0%</w:t>
            </w:r>
          </w:p>
        </w:tc>
        <w:tc>
          <w:tcPr>
            <w:tcW w:w="1320" w:type="dxa"/>
            <w:tcBorders>
              <w:top w:val="nil"/>
              <w:left w:val="nil"/>
              <w:bottom w:val="nil"/>
              <w:right w:val="nil"/>
            </w:tcBorders>
            <w:shd w:val="clear" w:color="000000" w:fill="FCD5B4"/>
            <w:noWrap/>
            <w:vAlign w:val="bottom"/>
            <w:hideMark/>
          </w:tcPr>
          <w:p w14:paraId="5E3BE037"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0.6%</w:t>
            </w:r>
          </w:p>
        </w:tc>
        <w:tc>
          <w:tcPr>
            <w:tcW w:w="1451" w:type="dxa"/>
            <w:tcBorders>
              <w:top w:val="nil"/>
              <w:left w:val="nil"/>
              <w:bottom w:val="nil"/>
              <w:right w:val="nil"/>
            </w:tcBorders>
            <w:shd w:val="clear" w:color="000000" w:fill="FCD5B4"/>
            <w:noWrap/>
            <w:vAlign w:val="bottom"/>
            <w:hideMark/>
          </w:tcPr>
          <w:p w14:paraId="3A15835C"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0.6%</w:t>
            </w:r>
          </w:p>
        </w:tc>
      </w:tr>
      <w:tr w:rsidR="00CC1762" w:rsidRPr="007D0ABE" w14:paraId="50888C82" w14:textId="77777777" w:rsidTr="005A43C1">
        <w:trPr>
          <w:trHeight w:val="480"/>
        </w:trPr>
        <w:tc>
          <w:tcPr>
            <w:tcW w:w="1721" w:type="dxa"/>
            <w:tcBorders>
              <w:top w:val="nil"/>
              <w:left w:val="nil"/>
              <w:bottom w:val="nil"/>
              <w:right w:val="nil"/>
            </w:tcBorders>
            <w:shd w:val="clear" w:color="000000" w:fill="E26B0A"/>
            <w:vAlign w:val="bottom"/>
            <w:hideMark/>
          </w:tcPr>
          <w:p w14:paraId="202F5DEC"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Medium exposure combinations</w:t>
            </w:r>
          </w:p>
        </w:tc>
        <w:tc>
          <w:tcPr>
            <w:tcW w:w="2717" w:type="dxa"/>
            <w:tcBorders>
              <w:top w:val="nil"/>
              <w:left w:val="nil"/>
              <w:bottom w:val="nil"/>
              <w:right w:val="nil"/>
            </w:tcBorders>
            <w:shd w:val="clear" w:color="000000" w:fill="FCD5B4"/>
            <w:vAlign w:val="bottom"/>
            <w:hideMark/>
          </w:tcPr>
          <w:p w14:paraId="5432E1ED"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13:Close_Oft </w:t>
            </w:r>
            <w:proofErr w:type="spellStart"/>
            <w:r w:rsidRPr="007D0ABE">
              <w:rPr>
                <w:rFonts w:ascii="Calibri" w:eastAsia="Times New Roman" w:hAnsi="Calibri" w:cs="Times New Roman"/>
                <w:color w:val="000000"/>
                <w:sz w:val="18"/>
                <w:szCs w:val="18"/>
              </w:rPr>
              <w:t>outdoor_Public</w:t>
            </w:r>
            <w:proofErr w:type="spellEnd"/>
            <w:r w:rsidRPr="007D0ABE">
              <w:rPr>
                <w:rFonts w:ascii="Calibri" w:eastAsia="Times New Roman" w:hAnsi="Calibri" w:cs="Times New Roman"/>
                <w:color w:val="000000"/>
                <w:sz w:val="18"/>
                <w:szCs w:val="18"/>
              </w:rPr>
              <w:t xml:space="preserve"> facing</w:t>
            </w:r>
          </w:p>
        </w:tc>
        <w:tc>
          <w:tcPr>
            <w:tcW w:w="1320" w:type="dxa"/>
            <w:tcBorders>
              <w:top w:val="nil"/>
              <w:left w:val="nil"/>
              <w:bottom w:val="nil"/>
              <w:right w:val="nil"/>
            </w:tcBorders>
            <w:shd w:val="clear" w:color="000000" w:fill="FCD5B4"/>
            <w:noWrap/>
            <w:vAlign w:val="bottom"/>
            <w:hideMark/>
          </w:tcPr>
          <w:p w14:paraId="3F122DF8"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0.1%</w:t>
            </w:r>
          </w:p>
        </w:tc>
        <w:tc>
          <w:tcPr>
            <w:tcW w:w="1451" w:type="dxa"/>
            <w:tcBorders>
              <w:top w:val="nil"/>
              <w:left w:val="nil"/>
              <w:bottom w:val="nil"/>
              <w:right w:val="nil"/>
            </w:tcBorders>
            <w:shd w:val="clear" w:color="000000" w:fill="FCD5B4"/>
            <w:noWrap/>
            <w:vAlign w:val="bottom"/>
            <w:hideMark/>
          </w:tcPr>
          <w:p w14:paraId="377A5A03"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0.0%</w:t>
            </w:r>
          </w:p>
        </w:tc>
        <w:tc>
          <w:tcPr>
            <w:tcW w:w="1320" w:type="dxa"/>
            <w:tcBorders>
              <w:top w:val="nil"/>
              <w:left w:val="nil"/>
              <w:bottom w:val="nil"/>
              <w:right w:val="nil"/>
            </w:tcBorders>
            <w:shd w:val="clear" w:color="000000" w:fill="FCD5B4"/>
            <w:noWrap/>
            <w:vAlign w:val="bottom"/>
            <w:hideMark/>
          </w:tcPr>
          <w:p w14:paraId="6BDBF38A"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0.1%</w:t>
            </w:r>
          </w:p>
        </w:tc>
        <w:tc>
          <w:tcPr>
            <w:tcW w:w="1451" w:type="dxa"/>
            <w:tcBorders>
              <w:top w:val="nil"/>
              <w:left w:val="nil"/>
              <w:bottom w:val="nil"/>
              <w:right w:val="nil"/>
            </w:tcBorders>
            <w:shd w:val="clear" w:color="000000" w:fill="FCD5B4"/>
            <w:noWrap/>
            <w:vAlign w:val="bottom"/>
            <w:hideMark/>
          </w:tcPr>
          <w:p w14:paraId="701AD5CA"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0.0%</w:t>
            </w:r>
          </w:p>
        </w:tc>
      </w:tr>
      <w:tr w:rsidR="00CC1762" w:rsidRPr="007D0ABE" w14:paraId="6353D0A0" w14:textId="77777777" w:rsidTr="005A43C1">
        <w:trPr>
          <w:trHeight w:val="480"/>
        </w:trPr>
        <w:tc>
          <w:tcPr>
            <w:tcW w:w="1721" w:type="dxa"/>
            <w:tcBorders>
              <w:top w:val="nil"/>
              <w:left w:val="nil"/>
              <w:bottom w:val="nil"/>
              <w:right w:val="nil"/>
            </w:tcBorders>
            <w:shd w:val="clear" w:color="000000" w:fill="E26B0A"/>
            <w:vAlign w:val="bottom"/>
            <w:hideMark/>
          </w:tcPr>
          <w:p w14:paraId="2183473F"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Medium exposure combinations</w:t>
            </w:r>
          </w:p>
        </w:tc>
        <w:tc>
          <w:tcPr>
            <w:tcW w:w="2717" w:type="dxa"/>
            <w:tcBorders>
              <w:top w:val="nil"/>
              <w:left w:val="nil"/>
              <w:bottom w:val="nil"/>
              <w:right w:val="nil"/>
            </w:tcBorders>
            <w:shd w:val="clear" w:color="000000" w:fill="FCD5B4"/>
            <w:vAlign w:val="bottom"/>
            <w:hideMark/>
          </w:tcPr>
          <w:p w14:paraId="44510491"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14:Close_Oft </w:t>
            </w:r>
            <w:proofErr w:type="spellStart"/>
            <w:r w:rsidRPr="007D0ABE">
              <w:rPr>
                <w:rFonts w:ascii="Calibri" w:eastAsia="Times New Roman" w:hAnsi="Calibri" w:cs="Times New Roman"/>
                <w:color w:val="000000"/>
                <w:sz w:val="18"/>
                <w:szCs w:val="18"/>
              </w:rPr>
              <w:t>outdoor_Not</w:t>
            </w:r>
            <w:proofErr w:type="spellEnd"/>
            <w:r w:rsidRPr="007D0ABE">
              <w:rPr>
                <w:rFonts w:ascii="Calibri" w:eastAsia="Times New Roman" w:hAnsi="Calibri" w:cs="Times New Roman"/>
                <w:color w:val="000000"/>
                <w:sz w:val="18"/>
                <w:szCs w:val="18"/>
              </w:rPr>
              <w:t xml:space="preserve"> public facing</w:t>
            </w:r>
          </w:p>
        </w:tc>
        <w:tc>
          <w:tcPr>
            <w:tcW w:w="1320" w:type="dxa"/>
            <w:tcBorders>
              <w:top w:val="nil"/>
              <w:left w:val="nil"/>
              <w:bottom w:val="nil"/>
              <w:right w:val="nil"/>
            </w:tcBorders>
            <w:shd w:val="clear" w:color="000000" w:fill="FCD5B4"/>
            <w:noWrap/>
            <w:vAlign w:val="bottom"/>
            <w:hideMark/>
          </w:tcPr>
          <w:p w14:paraId="73290FDB"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0.7%</w:t>
            </w:r>
          </w:p>
        </w:tc>
        <w:tc>
          <w:tcPr>
            <w:tcW w:w="1451" w:type="dxa"/>
            <w:tcBorders>
              <w:top w:val="nil"/>
              <w:left w:val="nil"/>
              <w:bottom w:val="nil"/>
              <w:right w:val="nil"/>
            </w:tcBorders>
            <w:shd w:val="clear" w:color="000000" w:fill="FCD5B4"/>
            <w:noWrap/>
            <w:vAlign w:val="bottom"/>
            <w:hideMark/>
          </w:tcPr>
          <w:p w14:paraId="095234F4"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0.1%</w:t>
            </w:r>
          </w:p>
        </w:tc>
        <w:tc>
          <w:tcPr>
            <w:tcW w:w="1320" w:type="dxa"/>
            <w:tcBorders>
              <w:top w:val="nil"/>
              <w:left w:val="nil"/>
              <w:bottom w:val="nil"/>
              <w:right w:val="nil"/>
            </w:tcBorders>
            <w:shd w:val="clear" w:color="000000" w:fill="FCD5B4"/>
            <w:noWrap/>
            <w:vAlign w:val="bottom"/>
            <w:hideMark/>
          </w:tcPr>
          <w:p w14:paraId="31C639CD"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0.3%</w:t>
            </w:r>
          </w:p>
        </w:tc>
        <w:tc>
          <w:tcPr>
            <w:tcW w:w="1451" w:type="dxa"/>
            <w:tcBorders>
              <w:top w:val="nil"/>
              <w:left w:val="nil"/>
              <w:bottom w:val="nil"/>
              <w:right w:val="nil"/>
            </w:tcBorders>
            <w:shd w:val="clear" w:color="000000" w:fill="FCD5B4"/>
            <w:noWrap/>
            <w:vAlign w:val="bottom"/>
            <w:hideMark/>
          </w:tcPr>
          <w:p w14:paraId="1CA43A0D"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0.0%</w:t>
            </w:r>
          </w:p>
        </w:tc>
      </w:tr>
      <w:tr w:rsidR="00CC1762" w:rsidRPr="007D0ABE" w14:paraId="36B4DBED" w14:textId="77777777" w:rsidTr="005A43C1">
        <w:trPr>
          <w:trHeight w:val="480"/>
        </w:trPr>
        <w:tc>
          <w:tcPr>
            <w:tcW w:w="1721" w:type="dxa"/>
            <w:tcBorders>
              <w:top w:val="nil"/>
              <w:left w:val="nil"/>
              <w:bottom w:val="nil"/>
              <w:right w:val="nil"/>
            </w:tcBorders>
            <w:shd w:val="clear" w:color="000000" w:fill="E26B0A"/>
            <w:vAlign w:val="bottom"/>
            <w:hideMark/>
          </w:tcPr>
          <w:p w14:paraId="2177640B"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Medium exposure combinations</w:t>
            </w:r>
          </w:p>
        </w:tc>
        <w:tc>
          <w:tcPr>
            <w:tcW w:w="2717" w:type="dxa"/>
            <w:tcBorders>
              <w:top w:val="nil"/>
              <w:left w:val="nil"/>
              <w:bottom w:val="nil"/>
              <w:right w:val="nil"/>
            </w:tcBorders>
            <w:shd w:val="clear" w:color="000000" w:fill="FCD5B4"/>
            <w:vAlign w:val="bottom"/>
            <w:hideMark/>
          </w:tcPr>
          <w:p w14:paraId="7C45AC45"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15:Close_Primarily </w:t>
            </w:r>
            <w:proofErr w:type="spellStart"/>
            <w:r w:rsidRPr="007D0ABE">
              <w:rPr>
                <w:rFonts w:ascii="Calibri" w:eastAsia="Times New Roman" w:hAnsi="Calibri" w:cs="Times New Roman"/>
                <w:color w:val="000000"/>
                <w:sz w:val="18"/>
                <w:szCs w:val="18"/>
              </w:rPr>
              <w:t>outdoor_Public</w:t>
            </w:r>
            <w:proofErr w:type="spellEnd"/>
            <w:r w:rsidRPr="007D0ABE">
              <w:rPr>
                <w:rFonts w:ascii="Calibri" w:eastAsia="Times New Roman" w:hAnsi="Calibri" w:cs="Times New Roman"/>
                <w:color w:val="000000"/>
                <w:sz w:val="18"/>
                <w:szCs w:val="18"/>
              </w:rPr>
              <w:t xml:space="preserve"> </w:t>
            </w:r>
            <w:proofErr w:type="spellStart"/>
            <w:r w:rsidRPr="007D0ABE">
              <w:rPr>
                <w:rFonts w:ascii="Calibri" w:eastAsia="Times New Roman" w:hAnsi="Calibri" w:cs="Times New Roman"/>
                <w:color w:val="000000"/>
                <w:sz w:val="18"/>
                <w:szCs w:val="18"/>
              </w:rPr>
              <w:t>faciing</w:t>
            </w:r>
            <w:proofErr w:type="spellEnd"/>
          </w:p>
        </w:tc>
        <w:tc>
          <w:tcPr>
            <w:tcW w:w="1320" w:type="dxa"/>
            <w:tcBorders>
              <w:top w:val="nil"/>
              <w:left w:val="nil"/>
              <w:bottom w:val="nil"/>
              <w:right w:val="nil"/>
            </w:tcBorders>
            <w:shd w:val="clear" w:color="000000" w:fill="FCD5B4"/>
            <w:noWrap/>
            <w:vAlign w:val="bottom"/>
            <w:hideMark/>
          </w:tcPr>
          <w:p w14:paraId="17EECEB3"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0.0%</w:t>
            </w:r>
          </w:p>
        </w:tc>
        <w:tc>
          <w:tcPr>
            <w:tcW w:w="1451" w:type="dxa"/>
            <w:tcBorders>
              <w:top w:val="nil"/>
              <w:left w:val="nil"/>
              <w:bottom w:val="nil"/>
              <w:right w:val="nil"/>
            </w:tcBorders>
            <w:shd w:val="clear" w:color="000000" w:fill="FCD5B4"/>
            <w:noWrap/>
            <w:vAlign w:val="bottom"/>
            <w:hideMark/>
          </w:tcPr>
          <w:p w14:paraId="3F7C77C7"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0.0%</w:t>
            </w:r>
          </w:p>
        </w:tc>
        <w:tc>
          <w:tcPr>
            <w:tcW w:w="1320" w:type="dxa"/>
            <w:tcBorders>
              <w:top w:val="nil"/>
              <w:left w:val="nil"/>
              <w:bottom w:val="nil"/>
              <w:right w:val="nil"/>
            </w:tcBorders>
            <w:shd w:val="clear" w:color="000000" w:fill="FCD5B4"/>
            <w:noWrap/>
            <w:vAlign w:val="bottom"/>
            <w:hideMark/>
          </w:tcPr>
          <w:p w14:paraId="250BE376"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0.1%</w:t>
            </w:r>
          </w:p>
        </w:tc>
        <w:tc>
          <w:tcPr>
            <w:tcW w:w="1451" w:type="dxa"/>
            <w:tcBorders>
              <w:top w:val="nil"/>
              <w:left w:val="nil"/>
              <w:bottom w:val="nil"/>
              <w:right w:val="nil"/>
            </w:tcBorders>
            <w:shd w:val="clear" w:color="000000" w:fill="FCD5B4"/>
            <w:noWrap/>
            <w:vAlign w:val="bottom"/>
            <w:hideMark/>
          </w:tcPr>
          <w:p w14:paraId="5421FB5C"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0.0%</w:t>
            </w:r>
          </w:p>
        </w:tc>
      </w:tr>
      <w:tr w:rsidR="00CC1762" w:rsidRPr="007D0ABE" w14:paraId="530E3CFB" w14:textId="77777777" w:rsidTr="005A43C1">
        <w:trPr>
          <w:trHeight w:val="720"/>
        </w:trPr>
        <w:tc>
          <w:tcPr>
            <w:tcW w:w="1721" w:type="dxa"/>
            <w:tcBorders>
              <w:top w:val="nil"/>
              <w:left w:val="nil"/>
              <w:bottom w:val="nil"/>
              <w:right w:val="nil"/>
            </w:tcBorders>
            <w:shd w:val="clear" w:color="000000" w:fill="E26B0A"/>
            <w:vAlign w:val="bottom"/>
            <w:hideMark/>
          </w:tcPr>
          <w:p w14:paraId="5365F554"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Medium exposure combinations</w:t>
            </w:r>
          </w:p>
        </w:tc>
        <w:tc>
          <w:tcPr>
            <w:tcW w:w="2717" w:type="dxa"/>
            <w:tcBorders>
              <w:top w:val="nil"/>
              <w:left w:val="nil"/>
              <w:bottom w:val="nil"/>
              <w:right w:val="nil"/>
            </w:tcBorders>
            <w:shd w:val="clear" w:color="000000" w:fill="FCD5B4"/>
            <w:vAlign w:val="bottom"/>
            <w:hideMark/>
          </w:tcPr>
          <w:p w14:paraId="09817661"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18:Somewhat </w:t>
            </w:r>
            <w:proofErr w:type="spellStart"/>
            <w:r w:rsidRPr="007D0ABE">
              <w:rPr>
                <w:rFonts w:ascii="Calibri" w:eastAsia="Times New Roman" w:hAnsi="Calibri" w:cs="Times New Roman"/>
                <w:color w:val="000000"/>
                <w:sz w:val="18"/>
                <w:szCs w:val="18"/>
              </w:rPr>
              <w:t>close_Primarily</w:t>
            </w:r>
            <w:proofErr w:type="spellEnd"/>
            <w:r w:rsidRPr="007D0ABE">
              <w:rPr>
                <w:rFonts w:ascii="Calibri" w:eastAsia="Times New Roman" w:hAnsi="Calibri" w:cs="Times New Roman"/>
                <w:color w:val="000000"/>
                <w:sz w:val="18"/>
                <w:szCs w:val="18"/>
              </w:rPr>
              <w:t xml:space="preserve"> </w:t>
            </w:r>
            <w:proofErr w:type="spellStart"/>
            <w:r w:rsidRPr="007D0ABE">
              <w:rPr>
                <w:rFonts w:ascii="Calibri" w:eastAsia="Times New Roman" w:hAnsi="Calibri" w:cs="Times New Roman"/>
                <w:color w:val="000000"/>
                <w:sz w:val="18"/>
                <w:szCs w:val="18"/>
              </w:rPr>
              <w:t>indoor_Not</w:t>
            </w:r>
            <w:proofErr w:type="spellEnd"/>
            <w:r w:rsidRPr="007D0ABE">
              <w:rPr>
                <w:rFonts w:ascii="Calibri" w:eastAsia="Times New Roman" w:hAnsi="Calibri" w:cs="Times New Roman"/>
                <w:color w:val="000000"/>
                <w:sz w:val="18"/>
                <w:szCs w:val="18"/>
              </w:rPr>
              <w:t xml:space="preserve"> public facing</w:t>
            </w:r>
          </w:p>
        </w:tc>
        <w:tc>
          <w:tcPr>
            <w:tcW w:w="1320" w:type="dxa"/>
            <w:tcBorders>
              <w:top w:val="nil"/>
              <w:left w:val="nil"/>
              <w:bottom w:val="nil"/>
              <w:right w:val="nil"/>
            </w:tcBorders>
            <w:shd w:val="clear" w:color="000000" w:fill="FCD5B4"/>
            <w:noWrap/>
            <w:vAlign w:val="bottom"/>
            <w:hideMark/>
          </w:tcPr>
          <w:p w14:paraId="46A71911"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6.8%</w:t>
            </w:r>
          </w:p>
        </w:tc>
        <w:tc>
          <w:tcPr>
            <w:tcW w:w="1451" w:type="dxa"/>
            <w:tcBorders>
              <w:top w:val="nil"/>
              <w:left w:val="nil"/>
              <w:bottom w:val="nil"/>
              <w:right w:val="nil"/>
            </w:tcBorders>
            <w:shd w:val="clear" w:color="000000" w:fill="FCD5B4"/>
            <w:noWrap/>
            <w:vAlign w:val="bottom"/>
            <w:hideMark/>
          </w:tcPr>
          <w:p w14:paraId="13797300"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11.7%</w:t>
            </w:r>
          </w:p>
        </w:tc>
        <w:tc>
          <w:tcPr>
            <w:tcW w:w="1320" w:type="dxa"/>
            <w:tcBorders>
              <w:top w:val="nil"/>
              <w:left w:val="nil"/>
              <w:bottom w:val="nil"/>
              <w:right w:val="nil"/>
            </w:tcBorders>
            <w:shd w:val="clear" w:color="000000" w:fill="FCD5B4"/>
            <w:noWrap/>
            <w:vAlign w:val="bottom"/>
            <w:hideMark/>
          </w:tcPr>
          <w:p w14:paraId="353D87F7"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5.0%</w:t>
            </w:r>
          </w:p>
        </w:tc>
        <w:tc>
          <w:tcPr>
            <w:tcW w:w="1451" w:type="dxa"/>
            <w:tcBorders>
              <w:top w:val="nil"/>
              <w:left w:val="nil"/>
              <w:bottom w:val="nil"/>
              <w:right w:val="nil"/>
            </w:tcBorders>
            <w:shd w:val="clear" w:color="000000" w:fill="FCD5B4"/>
            <w:noWrap/>
            <w:vAlign w:val="bottom"/>
            <w:hideMark/>
          </w:tcPr>
          <w:p w14:paraId="1495D4B7"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7.1%</w:t>
            </w:r>
          </w:p>
        </w:tc>
      </w:tr>
      <w:tr w:rsidR="00CC1762" w:rsidRPr="007D0ABE" w14:paraId="2204621E" w14:textId="77777777" w:rsidTr="005A43C1">
        <w:trPr>
          <w:trHeight w:val="480"/>
        </w:trPr>
        <w:tc>
          <w:tcPr>
            <w:tcW w:w="1721" w:type="dxa"/>
            <w:tcBorders>
              <w:top w:val="nil"/>
              <w:left w:val="nil"/>
              <w:bottom w:val="nil"/>
              <w:right w:val="nil"/>
            </w:tcBorders>
            <w:shd w:val="clear" w:color="000000" w:fill="E26B0A"/>
            <w:vAlign w:val="bottom"/>
            <w:hideMark/>
          </w:tcPr>
          <w:p w14:paraId="6446547B"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Medium exposure combinations</w:t>
            </w:r>
          </w:p>
        </w:tc>
        <w:tc>
          <w:tcPr>
            <w:tcW w:w="2717" w:type="dxa"/>
            <w:tcBorders>
              <w:top w:val="nil"/>
              <w:left w:val="nil"/>
              <w:bottom w:val="nil"/>
              <w:right w:val="nil"/>
            </w:tcBorders>
            <w:shd w:val="clear" w:color="000000" w:fill="FCD5B4"/>
            <w:vAlign w:val="bottom"/>
            <w:hideMark/>
          </w:tcPr>
          <w:p w14:paraId="7923D0B7"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19:Somewhat </w:t>
            </w:r>
            <w:proofErr w:type="spellStart"/>
            <w:r w:rsidRPr="007D0ABE">
              <w:rPr>
                <w:rFonts w:ascii="Calibri" w:eastAsia="Times New Roman" w:hAnsi="Calibri" w:cs="Times New Roman"/>
                <w:color w:val="000000"/>
                <w:sz w:val="18"/>
                <w:szCs w:val="18"/>
              </w:rPr>
              <w:t>close_Oft</w:t>
            </w:r>
            <w:proofErr w:type="spellEnd"/>
            <w:r w:rsidRPr="007D0ABE">
              <w:rPr>
                <w:rFonts w:ascii="Calibri" w:eastAsia="Times New Roman" w:hAnsi="Calibri" w:cs="Times New Roman"/>
                <w:color w:val="000000"/>
                <w:sz w:val="18"/>
                <w:szCs w:val="18"/>
              </w:rPr>
              <w:t xml:space="preserve"> </w:t>
            </w:r>
            <w:proofErr w:type="spellStart"/>
            <w:r w:rsidRPr="007D0ABE">
              <w:rPr>
                <w:rFonts w:ascii="Calibri" w:eastAsia="Times New Roman" w:hAnsi="Calibri" w:cs="Times New Roman"/>
                <w:color w:val="000000"/>
                <w:sz w:val="18"/>
                <w:szCs w:val="18"/>
              </w:rPr>
              <w:t>indoor_Public</w:t>
            </w:r>
            <w:proofErr w:type="spellEnd"/>
            <w:r w:rsidRPr="007D0ABE">
              <w:rPr>
                <w:rFonts w:ascii="Calibri" w:eastAsia="Times New Roman" w:hAnsi="Calibri" w:cs="Times New Roman"/>
                <w:color w:val="000000"/>
                <w:sz w:val="18"/>
                <w:szCs w:val="18"/>
              </w:rPr>
              <w:t xml:space="preserve"> facing</w:t>
            </w:r>
          </w:p>
        </w:tc>
        <w:tc>
          <w:tcPr>
            <w:tcW w:w="1320" w:type="dxa"/>
            <w:tcBorders>
              <w:top w:val="nil"/>
              <w:left w:val="nil"/>
              <w:bottom w:val="nil"/>
              <w:right w:val="nil"/>
            </w:tcBorders>
            <w:shd w:val="clear" w:color="000000" w:fill="FCD5B4"/>
            <w:noWrap/>
            <w:vAlign w:val="bottom"/>
            <w:hideMark/>
          </w:tcPr>
          <w:p w14:paraId="6E0AFB1B"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0.3%</w:t>
            </w:r>
          </w:p>
        </w:tc>
        <w:tc>
          <w:tcPr>
            <w:tcW w:w="1451" w:type="dxa"/>
            <w:tcBorders>
              <w:top w:val="nil"/>
              <w:left w:val="nil"/>
              <w:bottom w:val="nil"/>
              <w:right w:val="nil"/>
            </w:tcBorders>
            <w:shd w:val="clear" w:color="000000" w:fill="FCD5B4"/>
            <w:noWrap/>
            <w:vAlign w:val="bottom"/>
            <w:hideMark/>
          </w:tcPr>
          <w:p w14:paraId="36503A1D"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0.1%</w:t>
            </w:r>
          </w:p>
        </w:tc>
        <w:tc>
          <w:tcPr>
            <w:tcW w:w="1320" w:type="dxa"/>
            <w:tcBorders>
              <w:top w:val="nil"/>
              <w:left w:val="nil"/>
              <w:bottom w:val="nil"/>
              <w:right w:val="nil"/>
            </w:tcBorders>
            <w:shd w:val="clear" w:color="000000" w:fill="FCD5B4"/>
            <w:noWrap/>
            <w:vAlign w:val="bottom"/>
            <w:hideMark/>
          </w:tcPr>
          <w:p w14:paraId="3ED23564"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0.1%</w:t>
            </w:r>
          </w:p>
        </w:tc>
        <w:tc>
          <w:tcPr>
            <w:tcW w:w="1451" w:type="dxa"/>
            <w:tcBorders>
              <w:top w:val="nil"/>
              <w:left w:val="nil"/>
              <w:bottom w:val="nil"/>
              <w:right w:val="nil"/>
            </w:tcBorders>
            <w:shd w:val="clear" w:color="000000" w:fill="FCD5B4"/>
            <w:noWrap/>
            <w:vAlign w:val="bottom"/>
            <w:hideMark/>
          </w:tcPr>
          <w:p w14:paraId="2157026A"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0.0%</w:t>
            </w:r>
          </w:p>
        </w:tc>
      </w:tr>
      <w:tr w:rsidR="00CC1762" w:rsidRPr="007D0ABE" w14:paraId="47CAF878" w14:textId="77777777" w:rsidTr="005A43C1">
        <w:trPr>
          <w:trHeight w:val="480"/>
        </w:trPr>
        <w:tc>
          <w:tcPr>
            <w:tcW w:w="1721" w:type="dxa"/>
            <w:tcBorders>
              <w:top w:val="nil"/>
              <w:left w:val="nil"/>
              <w:bottom w:val="nil"/>
              <w:right w:val="nil"/>
            </w:tcBorders>
            <w:shd w:val="clear" w:color="000000" w:fill="E26B0A"/>
            <w:vAlign w:val="bottom"/>
            <w:hideMark/>
          </w:tcPr>
          <w:p w14:paraId="1D34E8ED"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Medium exposure combinations</w:t>
            </w:r>
          </w:p>
        </w:tc>
        <w:tc>
          <w:tcPr>
            <w:tcW w:w="2717" w:type="dxa"/>
            <w:tcBorders>
              <w:top w:val="nil"/>
              <w:left w:val="nil"/>
              <w:bottom w:val="nil"/>
              <w:right w:val="nil"/>
            </w:tcBorders>
            <w:shd w:val="clear" w:color="000000" w:fill="FCD5B4"/>
            <w:vAlign w:val="bottom"/>
            <w:hideMark/>
          </w:tcPr>
          <w:p w14:paraId="11D87F47"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20:Somewhat </w:t>
            </w:r>
            <w:proofErr w:type="spellStart"/>
            <w:r w:rsidRPr="007D0ABE">
              <w:rPr>
                <w:rFonts w:ascii="Calibri" w:eastAsia="Times New Roman" w:hAnsi="Calibri" w:cs="Times New Roman"/>
                <w:color w:val="000000"/>
                <w:sz w:val="18"/>
                <w:szCs w:val="18"/>
              </w:rPr>
              <w:t>close_Oft</w:t>
            </w:r>
            <w:proofErr w:type="spellEnd"/>
            <w:r w:rsidRPr="007D0ABE">
              <w:rPr>
                <w:rFonts w:ascii="Calibri" w:eastAsia="Times New Roman" w:hAnsi="Calibri" w:cs="Times New Roman"/>
                <w:color w:val="000000"/>
                <w:sz w:val="18"/>
                <w:szCs w:val="18"/>
              </w:rPr>
              <w:t xml:space="preserve"> </w:t>
            </w:r>
            <w:proofErr w:type="spellStart"/>
            <w:r w:rsidRPr="007D0ABE">
              <w:rPr>
                <w:rFonts w:ascii="Calibri" w:eastAsia="Times New Roman" w:hAnsi="Calibri" w:cs="Times New Roman"/>
                <w:color w:val="000000"/>
                <w:sz w:val="18"/>
                <w:szCs w:val="18"/>
              </w:rPr>
              <w:t>indoor_Not</w:t>
            </w:r>
            <w:proofErr w:type="spellEnd"/>
            <w:r w:rsidRPr="007D0ABE">
              <w:rPr>
                <w:rFonts w:ascii="Calibri" w:eastAsia="Times New Roman" w:hAnsi="Calibri" w:cs="Times New Roman"/>
                <w:color w:val="000000"/>
                <w:sz w:val="18"/>
                <w:szCs w:val="18"/>
              </w:rPr>
              <w:t xml:space="preserve"> public facing</w:t>
            </w:r>
          </w:p>
        </w:tc>
        <w:tc>
          <w:tcPr>
            <w:tcW w:w="1320" w:type="dxa"/>
            <w:tcBorders>
              <w:top w:val="nil"/>
              <w:left w:val="nil"/>
              <w:bottom w:val="nil"/>
              <w:right w:val="nil"/>
            </w:tcBorders>
            <w:shd w:val="clear" w:color="000000" w:fill="FCD5B4"/>
            <w:noWrap/>
            <w:vAlign w:val="bottom"/>
            <w:hideMark/>
          </w:tcPr>
          <w:p w14:paraId="39977C98"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1.7%</w:t>
            </w:r>
          </w:p>
        </w:tc>
        <w:tc>
          <w:tcPr>
            <w:tcW w:w="1451" w:type="dxa"/>
            <w:tcBorders>
              <w:top w:val="nil"/>
              <w:left w:val="nil"/>
              <w:bottom w:val="nil"/>
              <w:right w:val="nil"/>
            </w:tcBorders>
            <w:shd w:val="clear" w:color="000000" w:fill="FCD5B4"/>
            <w:noWrap/>
            <w:vAlign w:val="bottom"/>
            <w:hideMark/>
          </w:tcPr>
          <w:p w14:paraId="039396BC"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0.3%</w:t>
            </w:r>
          </w:p>
        </w:tc>
        <w:tc>
          <w:tcPr>
            <w:tcW w:w="1320" w:type="dxa"/>
            <w:tcBorders>
              <w:top w:val="nil"/>
              <w:left w:val="nil"/>
              <w:bottom w:val="nil"/>
              <w:right w:val="nil"/>
            </w:tcBorders>
            <w:shd w:val="clear" w:color="000000" w:fill="FCD5B4"/>
            <w:noWrap/>
            <w:vAlign w:val="bottom"/>
            <w:hideMark/>
          </w:tcPr>
          <w:p w14:paraId="500A50A9"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1.0%</w:t>
            </w:r>
          </w:p>
        </w:tc>
        <w:tc>
          <w:tcPr>
            <w:tcW w:w="1451" w:type="dxa"/>
            <w:tcBorders>
              <w:top w:val="nil"/>
              <w:left w:val="nil"/>
              <w:bottom w:val="nil"/>
              <w:right w:val="nil"/>
            </w:tcBorders>
            <w:shd w:val="clear" w:color="000000" w:fill="FCD5B4"/>
            <w:noWrap/>
            <w:vAlign w:val="bottom"/>
            <w:hideMark/>
          </w:tcPr>
          <w:p w14:paraId="36C53D3C"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0.2%</w:t>
            </w:r>
          </w:p>
        </w:tc>
      </w:tr>
      <w:tr w:rsidR="00CC1762" w:rsidRPr="007D0ABE" w14:paraId="599CE728" w14:textId="77777777" w:rsidTr="005A43C1">
        <w:trPr>
          <w:trHeight w:val="480"/>
        </w:trPr>
        <w:tc>
          <w:tcPr>
            <w:tcW w:w="1721" w:type="dxa"/>
            <w:tcBorders>
              <w:top w:val="nil"/>
              <w:left w:val="nil"/>
              <w:bottom w:val="nil"/>
              <w:right w:val="nil"/>
            </w:tcBorders>
            <w:shd w:val="clear" w:color="000000" w:fill="E26B0A"/>
            <w:vAlign w:val="bottom"/>
            <w:hideMark/>
          </w:tcPr>
          <w:p w14:paraId="50AAECFC"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Medium exposure combinations</w:t>
            </w:r>
          </w:p>
        </w:tc>
        <w:tc>
          <w:tcPr>
            <w:tcW w:w="2717" w:type="dxa"/>
            <w:tcBorders>
              <w:top w:val="nil"/>
              <w:left w:val="nil"/>
              <w:bottom w:val="nil"/>
              <w:right w:val="nil"/>
            </w:tcBorders>
            <w:shd w:val="clear" w:color="000000" w:fill="FCD5B4"/>
            <w:vAlign w:val="bottom"/>
            <w:hideMark/>
          </w:tcPr>
          <w:p w14:paraId="48524DC6"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21:Somewhat  </w:t>
            </w:r>
            <w:proofErr w:type="spellStart"/>
            <w:r w:rsidRPr="007D0ABE">
              <w:rPr>
                <w:rFonts w:ascii="Calibri" w:eastAsia="Times New Roman" w:hAnsi="Calibri" w:cs="Times New Roman"/>
                <w:color w:val="000000"/>
                <w:sz w:val="18"/>
                <w:szCs w:val="18"/>
              </w:rPr>
              <w:t>close_Oft</w:t>
            </w:r>
            <w:proofErr w:type="spellEnd"/>
            <w:r w:rsidRPr="007D0ABE">
              <w:rPr>
                <w:rFonts w:ascii="Calibri" w:eastAsia="Times New Roman" w:hAnsi="Calibri" w:cs="Times New Roman"/>
                <w:color w:val="000000"/>
                <w:sz w:val="18"/>
                <w:szCs w:val="18"/>
              </w:rPr>
              <w:t xml:space="preserve"> </w:t>
            </w:r>
            <w:proofErr w:type="spellStart"/>
            <w:r w:rsidRPr="007D0ABE">
              <w:rPr>
                <w:rFonts w:ascii="Calibri" w:eastAsia="Times New Roman" w:hAnsi="Calibri" w:cs="Times New Roman"/>
                <w:color w:val="000000"/>
                <w:sz w:val="18"/>
                <w:szCs w:val="18"/>
              </w:rPr>
              <w:t>outdoor_Public</w:t>
            </w:r>
            <w:proofErr w:type="spellEnd"/>
            <w:r w:rsidRPr="007D0ABE">
              <w:rPr>
                <w:rFonts w:ascii="Calibri" w:eastAsia="Times New Roman" w:hAnsi="Calibri" w:cs="Times New Roman"/>
                <w:color w:val="000000"/>
                <w:sz w:val="18"/>
                <w:szCs w:val="18"/>
              </w:rPr>
              <w:t xml:space="preserve"> facing</w:t>
            </w:r>
          </w:p>
        </w:tc>
        <w:tc>
          <w:tcPr>
            <w:tcW w:w="1320" w:type="dxa"/>
            <w:tcBorders>
              <w:top w:val="nil"/>
              <w:left w:val="nil"/>
              <w:bottom w:val="nil"/>
              <w:right w:val="nil"/>
            </w:tcBorders>
            <w:shd w:val="clear" w:color="000000" w:fill="FCD5B4"/>
            <w:noWrap/>
            <w:vAlign w:val="bottom"/>
            <w:hideMark/>
          </w:tcPr>
          <w:p w14:paraId="187E70AF"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0.3%</w:t>
            </w:r>
          </w:p>
        </w:tc>
        <w:tc>
          <w:tcPr>
            <w:tcW w:w="1451" w:type="dxa"/>
            <w:tcBorders>
              <w:top w:val="nil"/>
              <w:left w:val="nil"/>
              <w:bottom w:val="nil"/>
              <w:right w:val="nil"/>
            </w:tcBorders>
            <w:shd w:val="clear" w:color="000000" w:fill="FCD5B4"/>
            <w:noWrap/>
            <w:vAlign w:val="bottom"/>
            <w:hideMark/>
          </w:tcPr>
          <w:p w14:paraId="45B5B58D"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0.0%</w:t>
            </w:r>
          </w:p>
        </w:tc>
        <w:tc>
          <w:tcPr>
            <w:tcW w:w="1320" w:type="dxa"/>
            <w:tcBorders>
              <w:top w:val="nil"/>
              <w:left w:val="nil"/>
              <w:bottom w:val="nil"/>
              <w:right w:val="nil"/>
            </w:tcBorders>
            <w:shd w:val="clear" w:color="000000" w:fill="FCD5B4"/>
            <w:noWrap/>
            <w:vAlign w:val="bottom"/>
            <w:hideMark/>
          </w:tcPr>
          <w:p w14:paraId="6702C31A"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0.3%</w:t>
            </w:r>
          </w:p>
        </w:tc>
        <w:tc>
          <w:tcPr>
            <w:tcW w:w="1451" w:type="dxa"/>
            <w:tcBorders>
              <w:top w:val="nil"/>
              <w:left w:val="nil"/>
              <w:bottom w:val="nil"/>
              <w:right w:val="nil"/>
            </w:tcBorders>
            <w:shd w:val="clear" w:color="000000" w:fill="FCD5B4"/>
            <w:noWrap/>
            <w:vAlign w:val="bottom"/>
            <w:hideMark/>
          </w:tcPr>
          <w:p w14:paraId="7003B753"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0.0%</w:t>
            </w:r>
          </w:p>
        </w:tc>
      </w:tr>
      <w:tr w:rsidR="005A43C1" w:rsidRPr="007D0ABE" w14:paraId="3B032297" w14:textId="77777777" w:rsidTr="00A2143C">
        <w:trPr>
          <w:trHeight w:val="480"/>
        </w:trPr>
        <w:tc>
          <w:tcPr>
            <w:tcW w:w="1721" w:type="dxa"/>
            <w:tcBorders>
              <w:top w:val="nil"/>
              <w:left w:val="nil"/>
              <w:bottom w:val="nil"/>
              <w:right w:val="nil"/>
            </w:tcBorders>
            <w:shd w:val="clear" w:color="auto" w:fill="auto"/>
            <w:vAlign w:val="bottom"/>
          </w:tcPr>
          <w:p w14:paraId="464FF58E" w14:textId="2E82823B" w:rsidR="005A43C1" w:rsidRPr="007D0ABE" w:rsidRDefault="005A43C1" w:rsidP="005A43C1">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000000"/>
                <w:sz w:val="18"/>
                <w:szCs w:val="18"/>
              </w:rPr>
              <w:t>Risk Factors</w:t>
            </w:r>
          </w:p>
        </w:tc>
        <w:tc>
          <w:tcPr>
            <w:tcW w:w="2717" w:type="dxa"/>
            <w:tcBorders>
              <w:top w:val="nil"/>
              <w:left w:val="nil"/>
              <w:bottom w:val="nil"/>
              <w:right w:val="nil"/>
            </w:tcBorders>
            <w:shd w:val="clear" w:color="auto" w:fill="auto"/>
            <w:vAlign w:val="bottom"/>
          </w:tcPr>
          <w:p w14:paraId="048C2919" w14:textId="5FCADA43" w:rsidR="005A43C1" w:rsidRPr="007D0ABE" w:rsidRDefault="005A43C1" w:rsidP="005A43C1">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b/>
                <w:bCs/>
                <w:color w:val="000000"/>
                <w:sz w:val="18"/>
                <w:szCs w:val="18"/>
              </w:rPr>
              <w:t>Combination of exposure measures</w:t>
            </w:r>
          </w:p>
        </w:tc>
        <w:tc>
          <w:tcPr>
            <w:tcW w:w="1320" w:type="dxa"/>
            <w:tcBorders>
              <w:top w:val="nil"/>
              <w:left w:val="nil"/>
              <w:bottom w:val="nil"/>
              <w:right w:val="nil"/>
            </w:tcBorders>
            <w:shd w:val="clear" w:color="auto" w:fill="auto"/>
            <w:noWrap/>
            <w:vAlign w:val="bottom"/>
          </w:tcPr>
          <w:p w14:paraId="101155C3" w14:textId="04242B76" w:rsidR="005A43C1" w:rsidRPr="007D0ABE" w:rsidRDefault="005A43C1" w:rsidP="005A43C1">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b/>
                <w:bCs/>
                <w:color w:val="000000"/>
                <w:sz w:val="18"/>
                <w:szCs w:val="18"/>
              </w:rPr>
              <w:t>Proximity Measure 1:</w:t>
            </w:r>
            <w:r w:rsidRPr="007D0ABE">
              <w:rPr>
                <w:rFonts w:ascii="Calibri" w:eastAsia="Times New Roman" w:hAnsi="Calibri" w:cs="Times New Roman"/>
                <w:b/>
                <w:bCs/>
                <w:color w:val="000000"/>
                <w:sz w:val="18"/>
                <w:szCs w:val="18"/>
              </w:rPr>
              <w:br/>
              <w:t xml:space="preserve">%  SOC occupations  </w:t>
            </w:r>
            <w:r w:rsidRPr="007D0ABE">
              <w:rPr>
                <w:rFonts w:ascii="Calibri" w:eastAsia="Times New Roman" w:hAnsi="Calibri" w:cs="Times New Roman"/>
                <w:b/>
                <w:bCs/>
                <w:color w:val="000000"/>
                <w:sz w:val="18"/>
                <w:szCs w:val="18"/>
              </w:rPr>
              <w:br/>
              <w:t xml:space="preserve">(N= 696) </w:t>
            </w:r>
          </w:p>
        </w:tc>
        <w:tc>
          <w:tcPr>
            <w:tcW w:w="1451" w:type="dxa"/>
            <w:tcBorders>
              <w:top w:val="nil"/>
              <w:left w:val="nil"/>
              <w:bottom w:val="nil"/>
              <w:right w:val="nil"/>
            </w:tcBorders>
            <w:shd w:val="clear" w:color="auto" w:fill="auto"/>
            <w:noWrap/>
            <w:vAlign w:val="bottom"/>
          </w:tcPr>
          <w:p w14:paraId="0413DDBB" w14:textId="7AA40FA7" w:rsidR="005A43C1" w:rsidRPr="007D0ABE" w:rsidRDefault="005A43C1" w:rsidP="005A43C1">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b/>
                <w:bCs/>
                <w:color w:val="000000"/>
                <w:sz w:val="18"/>
                <w:szCs w:val="18"/>
              </w:rPr>
              <w:t>Proximity Measure 1:</w:t>
            </w:r>
            <w:r w:rsidRPr="007D0ABE">
              <w:rPr>
                <w:rFonts w:ascii="Calibri" w:eastAsia="Times New Roman" w:hAnsi="Calibri" w:cs="Times New Roman"/>
                <w:b/>
                <w:bCs/>
                <w:color w:val="000000"/>
                <w:sz w:val="18"/>
                <w:szCs w:val="18"/>
              </w:rPr>
              <w:br/>
              <w:t xml:space="preserve">% U.S. Workforce (N=132,324,596)    </w:t>
            </w:r>
          </w:p>
        </w:tc>
        <w:tc>
          <w:tcPr>
            <w:tcW w:w="1320" w:type="dxa"/>
            <w:tcBorders>
              <w:top w:val="nil"/>
              <w:left w:val="nil"/>
              <w:bottom w:val="nil"/>
              <w:right w:val="nil"/>
            </w:tcBorders>
            <w:shd w:val="clear" w:color="auto" w:fill="auto"/>
            <w:noWrap/>
            <w:vAlign w:val="bottom"/>
          </w:tcPr>
          <w:p w14:paraId="092DF1C7" w14:textId="02F965F2" w:rsidR="005A43C1" w:rsidRPr="007D0ABE" w:rsidRDefault="005A43C1" w:rsidP="005A43C1">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b/>
                <w:bCs/>
                <w:color w:val="000000"/>
                <w:sz w:val="18"/>
                <w:szCs w:val="18"/>
              </w:rPr>
              <w:t>Proximity Measure 2:</w:t>
            </w:r>
            <w:r w:rsidRPr="007D0ABE">
              <w:rPr>
                <w:rFonts w:ascii="Calibri" w:eastAsia="Times New Roman" w:hAnsi="Calibri" w:cs="Times New Roman"/>
                <w:b/>
                <w:bCs/>
                <w:color w:val="000000"/>
                <w:sz w:val="18"/>
                <w:szCs w:val="18"/>
              </w:rPr>
              <w:br/>
              <w:t xml:space="preserve">%  SOC occupations  </w:t>
            </w:r>
            <w:r w:rsidRPr="007D0ABE">
              <w:rPr>
                <w:rFonts w:ascii="Calibri" w:eastAsia="Times New Roman" w:hAnsi="Calibri" w:cs="Times New Roman"/>
                <w:b/>
                <w:bCs/>
                <w:color w:val="000000"/>
                <w:sz w:val="18"/>
                <w:szCs w:val="18"/>
              </w:rPr>
              <w:br/>
              <w:t xml:space="preserve">(N= 696) </w:t>
            </w:r>
          </w:p>
        </w:tc>
        <w:tc>
          <w:tcPr>
            <w:tcW w:w="1451" w:type="dxa"/>
            <w:tcBorders>
              <w:top w:val="nil"/>
              <w:left w:val="nil"/>
              <w:bottom w:val="nil"/>
              <w:right w:val="nil"/>
            </w:tcBorders>
            <w:shd w:val="clear" w:color="auto" w:fill="auto"/>
            <w:noWrap/>
            <w:vAlign w:val="bottom"/>
          </w:tcPr>
          <w:p w14:paraId="42A12487" w14:textId="34C89429" w:rsidR="005A43C1" w:rsidRPr="007D0ABE" w:rsidRDefault="005A43C1" w:rsidP="005A43C1">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b/>
                <w:bCs/>
                <w:color w:val="000000"/>
                <w:sz w:val="18"/>
                <w:szCs w:val="18"/>
              </w:rPr>
              <w:t>Proximity Measure 2:</w:t>
            </w:r>
            <w:r w:rsidRPr="007D0ABE">
              <w:rPr>
                <w:rFonts w:ascii="Calibri" w:eastAsia="Times New Roman" w:hAnsi="Calibri" w:cs="Times New Roman"/>
                <w:b/>
                <w:bCs/>
                <w:color w:val="000000"/>
                <w:sz w:val="18"/>
                <w:szCs w:val="18"/>
              </w:rPr>
              <w:br/>
              <w:t xml:space="preserve">% U.S. Workforce (N=132,324,596)    </w:t>
            </w:r>
          </w:p>
        </w:tc>
      </w:tr>
      <w:tr w:rsidR="00CC1762" w:rsidRPr="007D0ABE" w14:paraId="7DD92C11" w14:textId="77777777" w:rsidTr="005A43C1">
        <w:trPr>
          <w:trHeight w:val="480"/>
        </w:trPr>
        <w:tc>
          <w:tcPr>
            <w:tcW w:w="1721" w:type="dxa"/>
            <w:tcBorders>
              <w:top w:val="nil"/>
              <w:left w:val="nil"/>
              <w:bottom w:val="nil"/>
              <w:right w:val="nil"/>
            </w:tcBorders>
            <w:shd w:val="clear" w:color="000000" w:fill="E26B0A"/>
            <w:vAlign w:val="bottom"/>
            <w:hideMark/>
          </w:tcPr>
          <w:p w14:paraId="735CDB0B"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Medium exposure combinations</w:t>
            </w:r>
          </w:p>
        </w:tc>
        <w:tc>
          <w:tcPr>
            <w:tcW w:w="2717" w:type="dxa"/>
            <w:tcBorders>
              <w:top w:val="nil"/>
              <w:left w:val="nil"/>
              <w:bottom w:val="nil"/>
              <w:right w:val="nil"/>
            </w:tcBorders>
            <w:shd w:val="clear" w:color="000000" w:fill="FCD5B4"/>
            <w:vAlign w:val="bottom"/>
            <w:hideMark/>
          </w:tcPr>
          <w:p w14:paraId="4C4C3C51"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22:Somewhat </w:t>
            </w:r>
            <w:proofErr w:type="spellStart"/>
            <w:r w:rsidRPr="007D0ABE">
              <w:rPr>
                <w:rFonts w:ascii="Calibri" w:eastAsia="Times New Roman" w:hAnsi="Calibri" w:cs="Times New Roman"/>
                <w:color w:val="000000"/>
                <w:sz w:val="18"/>
                <w:szCs w:val="18"/>
              </w:rPr>
              <w:t>close_Oft</w:t>
            </w:r>
            <w:proofErr w:type="spellEnd"/>
            <w:r w:rsidRPr="007D0ABE">
              <w:rPr>
                <w:rFonts w:ascii="Calibri" w:eastAsia="Times New Roman" w:hAnsi="Calibri" w:cs="Times New Roman"/>
                <w:color w:val="000000"/>
                <w:sz w:val="18"/>
                <w:szCs w:val="18"/>
              </w:rPr>
              <w:t xml:space="preserve"> </w:t>
            </w:r>
            <w:proofErr w:type="spellStart"/>
            <w:r w:rsidRPr="007D0ABE">
              <w:rPr>
                <w:rFonts w:ascii="Calibri" w:eastAsia="Times New Roman" w:hAnsi="Calibri" w:cs="Times New Roman"/>
                <w:color w:val="000000"/>
                <w:sz w:val="18"/>
                <w:szCs w:val="18"/>
              </w:rPr>
              <w:t>outdoor_Not</w:t>
            </w:r>
            <w:proofErr w:type="spellEnd"/>
            <w:r w:rsidRPr="007D0ABE">
              <w:rPr>
                <w:rFonts w:ascii="Calibri" w:eastAsia="Times New Roman" w:hAnsi="Calibri" w:cs="Times New Roman"/>
                <w:color w:val="000000"/>
                <w:sz w:val="18"/>
                <w:szCs w:val="18"/>
              </w:rPr>
              <w:t xml:space="preserve"> public facing</w:t>
            </w:r>
          </w:p>
        </w:tc>
        <w:tc>
          <w:tcPr>
            <w:tcW w:w="1320" w:type="dxa"/>
            <w:tcBorders>
              <w:top w:val="nil"/>
              <w:left w:val="nil"/>
              <w:bottom w:val="nil"/>
              <w:right w:val="nil"/>
            </w:tcBorders>
            <w:shd w:val="clear" w:color="000000" w:fill="FCD5B4"/>
            <w:noWrap/>
            <w:vAlign w:val="bottom"/>
            <w:hideMark/>
          </w:tcPr>
          <w:p w14:paraId="23B2CB11"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1.3%</w:t>
            </w:r>
          </w:p>
        </w:tc>
        <w:tc>
          <w:tcPr>
            <w:tcW w:w="1451" w:type="dxa"/>
            <w:tcBorders>
              <w:top w:val="nil"/>
              <w:left w:val="nil"/>
              <w:bottom w:val="nil"/>
              <w:right w:val="nil"/>
            </w:tcBorders>
            <w:shd w:val="clear" w:color="000000" w:fill="FCD5B4"/>
            <w:noWrap/>
            <w:vAlign w:val="bottom"/>
            <w:hideMark/>
          </w:tcPr>
          <w:p w14:paraId="1D250446"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0.9%</w:t>
            </w:r>
          </w:p>
        </w:tc>
        <w:tc>
          <w:tcPr>
            <w:tcW w:w="1320" w:type="dxa"/>
            <w:tcBorders>
              <w:top w:val="nil"/>
              <w:left w:val="nil"/>
              <w:bottom w:val="nil"/>
              <w:right w:val="nil"/>
            </w:tcBorders>
            <w:shd w:val="clear" w:color="000000" w:fill="FCD5B4"/>
            <w:noWrap/>
            <w:vAlign w:val="bottom"/>
            <w:hideMark/>
          </w:tcPr>
          <w:p w14:paraId="3021B4A4"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0.6%</w:t>
            </w:r>
          </w:p>
        </w:tc>
        <w:tc>
          <w:tcPr>
            <w:tcW w:w="1451" w:type="dxa"/>
            <w:tcBorders>
              <w:top w:val="nil"/>
              <w:left w:val="nil"/>
              <w:bottom w:val="nil"/>
              <w:right w:val="nil"/>
            </w:tcBorders>
            <w:shd w:val="clear" w:color="000000" w:fill="FCD5B4"/>
            <w:noWrap/>
            <w:vAlign w:val="bottom"/>
            <w:hideMark/>
          </w:tcPr>
          <w:p w14:paraId="181BCECC"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0.1%</w:t>
            </w:r>
          </w:p>
        </w:tc>
      </w:tr>
      <w:tr w:rsidR="00CC1762" w:rsidRPr="007D0ABE" w14:paraId="12FA53E8" w14:textId="77777777" w:rsidTr="005A43C1">
        <w:trPr>
          <w:trHeight w:val="720"/>
        </w:trPr>
        <w:tc>
          <w:tcPr>
            <w:tcW w:w="1721" w:type="dxa"/>
            <w:tcBorders>
              <w:top w:val="nil"/>
              <w:left w:val="nil"/>
              <w:bottom w:val="nil"/>
              <w:right w:val="nil"/>
            </w:tcBorders>
            <w:shd w:val="clear" w:color="000000" w:fill="E26B0A"/>
            <w:vAlign w:val="bottom"/>
            <w:hideMark/>
          </w:tcPr>
          <w:p w14:paraId="0F7C7EB7"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Medium exposure combinations</w:t>
            </w:r>
          </w:p>
        </w:tc>
        <w:tc>
          <w:tcPr>
            <w:tcW w:w="2717" w:type="dxa"/>
            <w:tcBorders>
              <w:top w:val="nil"/>
              <w:left w:val="nil"/>
              <w:bottom w:val="nil"/>
              <w:right w:val="nil"/>
            </w:tcBorders>
            <w:shd w:val="clear" w:color="000000" w:fill="FCD5B4"/>
            <w:vAlign w:val="bottom"/>
            <w:hideMark/>
          </w:tcPr>
          <w:p w14:paraId="3615F3BE"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24:Somewhat close_ Primarily </w:t>
            </w:r>
            <w:proofErr w:type="spellStart"/>
            <w:r w:rsidRPr="007D0ABE">
              <w:rPr>
                <w:rFonts w:ascii="Calibri" w:eastAsia="Times New Roman" w:hAnsi="Calibri" w:cs="Times New Roman"/>
                <w:color w:val="000000"/>
                <w:sz w:val="18"/>
                <w:szCs w:val="18"/>
              </w:rPr>
              <w:t>outdoor_Not</w:t>
            </w:r>
            <w:proofErr w:type="spellEnd"/>
            <w:r w:rsidRPr="007D0ABE">
              <w:rPr>
                <w:rFonts w:ascii="Calibri" w:eastAsia="Times New Roman" w:hAnsi="Calibri" w:cs="Times New Roman"/>
                <w:color w:val="000000"/>
                <w:sz w:val="18"/>
                <w:szCs w:val="18"/>
              </w:rPr>
              <w:t xml:space="preserve"> public facing</w:t>
            </w:r>
          </w:p>
        </w:tc>
        <w:tc>
          <w:tcPr>
            <w:tcW w:w="1320" w:type="dxa"/>
            <w:tcBorders>
              <w:top w:val="nil"/>
              <w:left w:val="nil"/>
              <w:bottom w:val="nil"/>
              <w:right w:val="nil"/>
            </w:tcBorders>
            <w:shd w:val="clear" w:color="000000" w:fill="FCD5B4"/>
            <w:noWrap/>
            <w:vAlign w:val="bottom"/>
            <w:hideMark/>
          </w:tcPr>
          <w:p w14:paraId="0334A1E2"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0.3%</w:t>
            </w:r>
          </w:p>
        </w:tc>
        <w:tc>
          <w:tcPr>
            <w:tcW w:w="1451" w:type="dxa"/>
            <w:tcBorders>
              <w:top w:val="nil"/>
              <w:left w:val="nil"/>
              <w:bottom w:val="nil"/>
              <w:right w:val="nil"/>
            </w:tcBorders>
            <w:shd w:val="clear" w:color="000000" w:fill="FCD5B4"/>
            <w:noWrap/>
            <w:vAlign w:val="bottom"/>
            <w:hideMark/>
          </w:tcPr>
          <w:p w14:paraId="1533171F"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0.0%</w:t>
            </w:r>
          </w:p>
        </w:tc>
        <w:tc>
          <w:tcPr>
            <w:tcW w:w="1320" w:type="dxa"/>
            <w:tcBorders>
              <w:top w:val="nil"/>
              <w:left w:val="nil"/>
              <w:bottom w:val="nil"/>
              <w:right w:val="nil"/>
            </w:tcBorders>
            <w:shd w:val="clear" w:color="000000" w:fill="FCD5B4"/>
            <w:noWrap/>
            <w:vAlign w:val="bottom"/>
            <w:hideMark/>
          </w:tcPr>
          <w:p w14:paraId="640AC6B2"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0.1%</w:t>
            </w:r>
          </w:p>
        </w:tc>
        <w:tc>
          <w:tcPr>
            <w:tcW w:w="1451" w:type="dxa"/>
            <w:tcBorders>
              <w:top w:val="nil"/>
              <w:left w:val="nil"/>
              <w:bottom w:val="nil"/>
              <w:right w:val="nil"/>
            </w:tcBorders>
            <w:shd w:val="clear" w:color="000000" w:fill="FCD5B4"/>
            <w:noWrap/>
            <w:vAlign w:val="bottom"/>
            <w:hideMark/>
          </w:tcPr>
          <w:p w14:paraId="0C75819E"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0.0%</w:t>
            </w:r>
          </w:p>
        </w:tc>
      </w:tr>
      <w:tr w:rsidR="00CC1762" w:rsidRPr="007D0ABE" w14:paraId="13D66211" w14:textId="77777777" w:rsidTr="005A43C1">
        <w:trPr>
          <w:trHeight w:val="480"/>
        </w:trPr>
        <w:tc>
          <w:tcPr>
            <w:tcW w:w="1721" w:type="dxa"/>
            <w:tcBorders>
              <w:top w:val="nil"/>
              <w:left w:val="nil"/>
              <w:bottom w:val="nil"/>
              <w:right w:val="nil"/>
            </w:tcBorders>
            <w:shd w:val="clear" w:color="000000" w:fill="E26B0A"/>
            <w:vAlign w:val="bottom"/>
            <w:hideMark/>
          </w:tcPr>
          <w:p w14:paraId="2871A607"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Medium exposure combinations</w:t>
            </w:r>
          </w:p>
        </w:tc>
        <w:tc>
          <w:tcPr>
            <w:tcW w:w="2717" w:type="dxa"/>
            <w:tcBorders>
              <w:top w:val="nil"/>
              <w:left w:val="nil"/>
              <w:bottom w:val="nil"/>
              <w:right w:val="nil"/>
            </w:tcBorders>
            <w:shd w:val="clear" w:color="000000" w:fill="FCD5B4"/>
            <w:vAlign w:val="bottom"/>
            <w:hideMark/>
          </w:tcPr>
          <w:p w14:paraId="2AFB1D9B"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27:Not </w:t>
            </w:r>
            <w:proofErr w:type="spellStart"/>
            <w:r w:rsidRPr="007D0ABE">
              <w:rPr>
                <w:rFonts w:ascii="Calibri" w:eastAsia="Times New Roman" w:hAnsi="Calibri" w:cs="Times New Roman"/>
                <w:color w:val="000000"/>
                <w:sz w:val="18"/>
                <w:szCs w:val="18"/>
              </w:rPr>
              <w:t>close_Oft</w:t>
            </w:r>
            <w:proofErr w:type="spellEnd"/>
            <w:r w:rsidRPr="007D0ABE">
              <w:rPr>
                <w:rFonts w:ascii="Calibri" w:eastAsia="Times New Roman" w:hAnsi="Calibri" w:cs="Times New Roman"/>
                <w:color w:val="000000"/>
                <w:sz w:val="18"/>
                <w:szCs w:val="18"/>
              </w:rPr>
              <w:t xml:space="preserve"> </w:t>
            </w:r>
            <w:proofErr w:type="spellStart"/>
            <w:r w:rsidRPr="007D0ABE">
              <w:rPr>
                <w:rFonts w:ascii="Calibri" w:eastAsia="Times New Roman" w:hAnsi="Calibri" w:cs="Times New Roman"/>
                <w:color w:val="000000"/>
                <w:sz w:val="18"/>
                <w:szCs w:val="18"/>
              </w:rPr>
              <w:t>indoor_Public</w:t>
            </w:r>
            <w:proofErr w:type="spellEnd"/>
            <w:r w:rsidRPr="007D0ABE">
              <w:rPr>
                <w:rFonts w:ascii="Calibri" w:eastAsia="Times New Roman" w:hAnsi="Calibri" w:cs="Times New Roman"/>
                <w:color w:val="000000"/>
                <w:sz w:val="18"/>
                <w:szCs w:val="18"/>
              </w:rPr>
              <w:t xml:space="preserve"> facing</w:t>
            </w:r>
          </w:p>
        </w:tc>
        <w:tc>
          <w:tcPr>
            <w:tcW w:w="1320" w:type="dxa"/>
            <w:tcBorders>
              <w:top w:val="nil"/>
              <w:left w:val="nil"/>
              <w:bottom w:val="nil"/>
              <w:right w:val="nil"/>
            </w:tcBorders>
            <w:shd w:val="clear" w:color="000000" w:fill="FCD5B4"/>
            <w:noWrap/>
            <w:vAlign w:val="bottom"/>
            <w:hideMark/>
          </w:tcPr>
          <w:p w14:paraId="7EAB8C96"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0.7%</w:t>
            </w:r>
          </w:p>
        </w:tc>
        <w:tc>
          <w:tcPr>
            <w:tcW w:w="1451" w:type="dxa"/>
            <w:tcBorders>
              <w:top w:val="nil"/>
              <w:left w:val="nil"/>
              <w:bottom w:val="nil"/>
              <w:right w:val="nil"/>
            </w:tcBorders>
            <w:shd w:val="clear" w:color="000000" w:fill="FCD5B4"/>
            <w:noWrap/>
            <w:vAlign w:val="bottom"/>
            <w:hideMark/>
          </w:tcPr>
          <w:p w14:paraId="163D490F"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0.3%</w:t>
            </w:r>
          </w:p>
        </w:tc>
        <w:tc>
          <w:tcPr>
            <w:tcW w:w="1320" w:type="dxa"/>
            <w:tcBorders>
              <w:top w:val="nil"/>
              <w:left w:val="nil"/>
              <w:bottom w:val="nil"/>
              <w:right w:val="nil"/>
            </w:tcBorders>
            <w:shd w:val="clear" w:color="000000" w:fill="FCD5B4"/>
            <w:noWrap/>
            <w:vAlign w:val="bottom"/>
            <w:hideMark/>
          </w:tcPr>
          <w:p w14:paraId="482893F3"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0.3%</w:t>
            </w:r>
          </w:p>
        </w:tc>
        <w:tc>
          <w:tcPr>
            <w:tcW w:w="1451" w:type="dxa"/>
            <w:tcBorders>
              <w:top w:val="nil"/>
              <w:left w:val="nil"/>
              <w:bottom w:val="nil"/>
              <w:right w:val="nil"/>
            </w:tcBorders>
            <w:shd w:val="clear" w:color="000000" w:fill="FCD5B4"/>
            <w:noWrap/>
            <w:vAlign w:val="bottom"/>
            <w:hideMark/>
          </w:tcPr>
          <w:p w14:paraId="57C0A067"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0.0%</w:t>
            </w:r>
          </w:p>
        </w:tc>
      </w:tr>
      <w:tr w:rsidR="00CC1762" w:rsidRPr="007D0ABE" w14:paraId="32215534" w14:textId="77777777" w:rsidTr="005A43C1">
        <w:trPr>
          <w:trHeight w:val="480"/>
        </w:trPr>
        <w:tc>
          <w:tcPr>
            <w:tcW w:w="1721" w:type="dxa"/>
            <w:tcBorders>
              <w:top w:val="nil"/>
              <w:left w:val="nil"/>
              <w:bottom w:val="nil"/>
              <w:right w:val="nil"/>
            </w:tcBorders>
            <w:shd w:val="clear" w:color="000000" w:fill="E26B0A"/>
            <w:vAlign w:val="bottom"/>
            <w:hideMark/>
          </w:tcPr>
          <w:p w14:paraId="227CE711"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Medium exposure combinations</w:t>
            </w:r>
          </w:p>
        </w:tc>
        <w:tc>
          <w:tcPr>
            <w:tcW w:w="2717" w:type="dxa"/>
            <w:tcBorders>
              <w:top w:val="nil"/>
              <w:left w:val="nil"/>
              <w:bottom w:val="nil"/>
              <w:right w:val="nil"/>
            </w:tcBorders>
            <w:shd w:val="clear" w:color="000000" w:fill="FCD5B4"/>
            <w:vAlign w:val="bottom"/>
            <w:hideMark/>
          </w:tcPr>
          <w:p w14:paraId="2CB93631"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30:Not </w:t>
            </w:r>
            <w:proofErr w:type="spellStart"/>
            <w:r w:rsidRPr="007D0ABE">
              <w:rPr>
                <w:rFonts w:ascii="Calibri" w:eastAsia="Times New Roman" w:hAnsi="Calibri" w:cs="Times New Roman"/>
                <w:color w:val="000000"/>
                <w:sz w:val="18"/>
                <w:szCs w:val="18"/>
              </w:rPr>
              <w:t>close_Oft</w:t>
            </w:r>
            <w:proofErr w:type="spellEnd"/>
            <w:r w:rsidRPr="007D0ABE">
              <w:rPr>
                <w:rFonts w:ascii="Calibri" w:eastAsia="Times New Roman" w:hAnsi="Calibri" w:cs="Times New Roman"/>
                <w:color w:val="000000"/>
                <w:sz w:val="18"/>
                <w:szCs w:val="18"/>
              </w:rPr>
              <w:t xml:space="preserve"> </w:t>
            </w:r>
            <w:proofErr w:type="spellStart"/>
            <w:r w:rsidRPr="007D0ABE">
              <w:rPr>
                <w:rFonts w:ascii="Calibri" w:eastAsia="Times New Roman" w:hAnsi="Calibri" w:cs="Times New Roman"/>
                <w:color w:val="000000"/>
                <w:sz w:val="18"/>
                <w:szCs w:val="18"/>
              </w:rPr>
              <w:t>outdoor_Public</w:t>
            </w:r>
            <w:proofErr w:type="spellEnd"/>
            <w:r w:rsidRPr="007D0ABE">
              <w:rPr>
                <w:rFonts w:ascii="Calibri" w:eastAsia="Times New Roman" w:hAnsi="Calibri" w:cs="Times New Roman"/>
                <w:color w:val="000000"/>
                <w:sz w:val="18"/>
                <w:szCs w:val="18"/>
              </w:rPr>
              <w:t xml:space="preserve"> facing</w:t>
            </w:r>
          </w:p>
        </w:tc>
        <w:tc>
          <w:tcPr>
            <w:tcW w:w="1320" w:type="dxa"/>
            <w:tcBorders>
              <w:top w:val="nil"/>
              <w:left w:val="nil"/>
              <w:bottom w:val="nil"/>
              <w:right w:val="nil"/>
            </w:tcBorders>
            <w:shd w:val="clear" w:color="000000" w:fill="FCD5B4"/>
            <w:noWrap/>
            <w:vAlign w:val="bottom"/>
            <w:hideMark/>
          </w:tcPr>
          <w:p w14:paraId="5860C66C"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0.7%</w:t>
            </w:r>
          </w:p>
        </w:tc>
        <w:tc>
          <w:tcPr>
            <w:tcW w:w="1451" w:type="dxa"/>
            <w:tcBorders>
              <w:top w:val="nil"/>
              <w:left w:val="nil"/>
              <w:bottom w:val="nil"/>
              <w:right w:val="nil"/>
            </w:tcBorders>
            <w:shd w:val="clear" w:color="000000" w:fill="FCD5B4"/>
            <w:noWrap/>
            <w:vAlign w:val="bottom"/>
            <w:hideMark/>
          </w:tcPr>
          <w:p w14:paraId="13A90829"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1.1%</w:t>
            </w:r>
          </w:p>
        </w:tc>
        <w:tc>
          <w:tcPr>
            <w:tcW w:w="1320" w:type="dxa"/>
            <w:tcBorders>
              <w:top w:val="nil"/>
              <w:left w:val="nil"/>
              <w:bottom w:val="nil"/>
              <w:right w:val="nil"/>
            </w:tcBorders>
            <w:shd w:val="clear" w:color="000000" w:fill="FCD5B4"/>
            <w:noWrap/>
            <w:vAlign w:val="bottom"/>
            <w:hideMark/>
          </w:tcPr>
          <w:p w14:paraId="56AAC816"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0.4%</w:t>
            </w:r>
          </w:p>
        </w:tc>
        <w:tc>
          <w:tcPr>
            <w:tcW w:w="1451" w:type="dxa"/>
            <w:tcBorders>
              <w:top w:val="nil"/>
              <w:left w:val="nil"/>
              <w:bottom w:val="nil"/>
              <w:right w:val="nil"/>
            </w:tcBorders>
            <w:shd w:val="clear" w:color="000000" w:fill="FCD5B4"/>
            <w:noWrap/>
            <w:vAlign w:val="bottom"/>
            <w:hideMark/>
          </w:tcPr>
          <w:p w14:paraId="70CAE0DC"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0.4%</w:t>
            </w:r>
          </w:p>
        </w:tc>
      </w:tr>
      <w:tr w:rsidR="00CC1762" w:rsidRPr="007D0ABE" w14:paraId="017AF009" w14:textId="77777777" w:rsidTr="005A43C1">
        <w:trPr>
          <w:trHeight w:val="480"/>
        </w:trPr>
        <w:tc>
          <w:tcPr>
            <w:tcW w:w="1721" w:type="dxa"/>
            <w:tcBorders>
              <w:top w:val="nil"/>
              <w:left w:val="nil"/>
              <w:bottom w:val="nil"/>
              <w:right w:val="nil"/>
            </w:tcBorders>
            <w:shd w:val="clear" w:color="000000" w:fill="E26B0A"/>
            <w:vAlign w:val="bottom"/>
            <w:hideMark/>
          </w:tcPr>
          <w:p w14:paraId="43CE7A57"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Medium exposure combinations</w:t>
            </w:r>
          </w:p>
        </w:tc>
        <w:tc>
          <w:tcPr>
            <w:tcW w:w="2717" w:type="dxa"/>
            <w:tcBorders>
              <w:top w:val="nil"/>
              <w:left w:val="nil"/>
              <w:bottom w:val="nil"/>
              <w:right w:val="nil"/>
            </w:tcBorders>
            <w:shd w:val="clear" w:color="000000" w:fill="FCD5B4"/>
            <w:vAlign w:val="bottom"/>
            <w:hideMark/>
          </w:tcPr>
          <w:p w14:paraId="63383C43"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31:Not </w:t>
            </w:r>
            <w:proofErr w:type="spellStart"/>
            <w:r w:rsidRPr="007D0ABE">
              <w:rPr>
                <w:rFonts w:ascii="Calibri" w:eastAsia="Times New Roman" w:hAnsi="Calibri" w:cs="Times New Roman"/>
                <w:color w:val="000000"/>
                <w:sz w:val="18"/>
                <w:szCs w:val="18"/>
              </w:rPr>
              <w:t>close_Primarily</w:t>
            </w:r>
            <w:proofErr w:type="spellEnd"/>
            <w:r w:rsidRPr="007D0ABE">
              <w:rPr>
                <w:rFonts w:ascii="Calibri" w:eastAsia="Times New Roman" w:hAnsi="Calibri" w:cs="Times New Roman"/>
                <w:color w:val="000000"/>
                <w:sz w:val="18"/>
                <w:szCs w:val="18"/>
              </w:rPr>
              <w:t xml:space="preserve"> </w:t>
            </w:r>
            <w:proofErr w:type="spellStart"/>
            <w:r w:rsidRPr="007D0ABE">
              <w:rPr>
                <w:rFonts w:ascii="Calibri" w:eastAsia="Times New Roman" w:hAnsi="Calibri" w:cs="Times New Roman"/>
                <w:color w:val="000000"/>
                <w:sz w:val="18"/>
                <w:szCs w:val="18"/>
              </w:rPr>
              <w:t>outdoor_Public</w:t>
            </w:r>
            <w:proofErr w:type="spellEnd"/>
            <w:r w:rsidRPr="007D0ABE">
              <w:rPr>
                <w:rFonts w:ascii="Calibri" w:eastAsia="Times New Roman" w:hAnsi="Calibri" w:cs="Times New Roman"/>
                <w:color w:val="000000"/>
                <w:sz w:val="18"/>
                <w:szCs w:val="18"/>
              </w:rPr>
              <w:t xml:space="preserve"> facing</w:t>
            </w:r>
          </w:p>
        </w:tc>
        <w:tc>
          <w:tcPr>
            <w:tcW w:w="1320" w:type="dxa"/>
            <w:tcBorders>
              <w:top w:val="nil"/>
              <w:left w:val="nil"/>
              <w:bottom w:val="nil"/>
              <w:right w:val="nil"/>
            </w:tcBorders>
            <w:shd w:val="clear" w:color="000000" w:fill="FCD5B4"/>
            <w:noWrap/>
            <w:vAlign w:val="bottom"/>
            <w:hideMark/>
          </w:tcPr>
          <w:p w14:paraId="7F6CBC50"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0.3%</w:t>
            </w:r>
          </w:p>
        </w:tc>
        <w:tc>
          <w:tcPr>
            <w:tcW w:w="1451" w:type="dxa"/>
            <w:tcBorders>
              <w:top w:val="nil"/>
              <w:left w:val="nil"/>
              <w:bottom w:val="nil"/>
              <w:right w:val="nil"/>
            </w:tcBorders>
            <w:shd w:val="clear" w:color="000000" w:fill="FCD5B4"/>
            <w:noWrap/>
            <w:vAlign w:val="bottom"/>
            <w:hideMark/>
          </w:tcPr>
          <w:p w14:paraId="09815170"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0.0%</w:t>
            </w:r>
          </w:p>
        </w:tc>
        <w:tc>
          <w:tcPr>
            <w:tcW w:w="1320" w:type="dxa"/>
            <w:tcBorders>
              <w:top w:val="nil"/>
              <w:left w:val="nil"/>
              <w:bottom w:val="nil"/>
              <w:right w:val="nil"/>
            </w:tcBorders>
            <w:shd w:val="clear" w:color="000000" w:fill="FCD5B4"/>
            <w:noWrap/>
            <w:vAlign w:val="bottom"/>
            <w:hideMark/>
          </w:tcPr>
          <w:p w14:paraId="411DD947"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0.1%</w:t>
            </w:r>
          </w:p>
        </w:tc>
        <w:tc>
          <w:tcPr>
            <w:tcW w:w="1451" w:type="dxa"/>
            <w:tcBorders>
              <w:top w:val="nil"/>
              <w:left w:val="nil"/>
              <w:bottom w:val="nil"/>
              <w:right w:val="nil"/>
            </w:tcBorders>
            <w:shd w:val="clear" w:color="000000" w:fill="FCD5B4"/>
            <w:noWrap/>
            <w:vAlign w:val="bottom"/>
            <w:hideMark/>
          </w:tcPr>
          <w:p w14:paraId="31255D59"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0.0%</w:t>
            </w:r>
          </w:p>
        </w:tc>
      </w:tr>
      <w:tr w:rsidR="00CC1762" w:rsidRPr="007D0ABE" w14:paraId="41DFD121" w14:textId="77777777" w:rsidTr="005A43C1">
        <w:trPr>
          <w:trHeight w:val="480"/>
        </w:trPr>
        <w:tc>
          <w:tcPr>
            <w:tcW w:w="1721" w:type="dxa"/>
            <w:tcBorders>
              <w:top w:val="nil"/>
              <w:left w:val="nil"/>
              <w:bottom w:val="nil"/>
              <w:right w:val="nil"/>
            </w:tcBorders>
            <w:shd w:val="clear" w:color="000000" w:fill="E26B0A"/>
            <w:vAlign w:val="bottom"/>
            <w:hideMark/>
          </w:tcPr>
          <w:p w14:paraId="64572E6F"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Medium exposure combinations</w:t>
            </w:r>
          </w:p>
        </w:tc>
        <w:tc>
          <w:tcPr>
            <w:tcW w:w="2717" w:type="dxa"/>
            <w:tcBorders>
              <w:top w:val="nil"/>
              <w:left w:val="nil"/>
              <w:bottom w:val="nil"/>
              <w:right w:val="nil"/>
            </w:tcBorders>
            <w:shd w:val="clear" w:color="000000" w:fill="FCD5B4"/>
            <w:vAlign w:val="bottom"/>
            <w:hideMark/>
          </w:tcPr>
          <w:p w14:paraId="7F9D35C2" w14:textId="77777777" w:rsidR="00CC1762" w:rsidRPr="007D0ABE" w:rsidRDefault="00CC1762" w:rsidP="009D461A">
            <w:pPr>
              <w:spacing w:after="0" w:line="240" w:lineRule="auto"/>
              <w:rPr>
                <w:rFonts w:ascii="Calibri" w:eastAsia="Times New Roman" w:hAnsi="Calibri" w:cs="Times New Roman"/>
                <w:b/>
                <w:bCs/>
                <w:i/>
                <w:iCs/>
                <w:color w:val="000000"/>
                <w:sz w:val="18"/>
                <w:szCs w:val="18"/>
              </w:rPr>
            </w:pPr>
            <w:r w:rsidRPr="007D0ABE">
              <w:rPr>
                <w:rFonts w:ascii="Calibri" w:eastAsia="Times New Roman" w:hAnsi="Calibri" w:cs="Times New Roman"/>
                <w:b/>
                <w:bCs/>
                <w:i/>
                <w:iCs/>
                <w:color w:val="000000"/>
                <w:sz w:val="18"/>
                <w:szCs w:val="18"/>
              </w:rPr>
              <w:t>Medium Total</w:t>
            </w:r>
          </w:p>
        </w:tc>
        <w:tc>
          <w:tcPr>
            <w:tcW w:w="1320" w:type="dxa"/>
            <w:tcBorders>
              <w:top w:val="nil"/>
              <w:left w:val="nil"/>
              <w:bottom w:val="nil"/>
              <w:right w:val="nil"/>
            </w:tcBorders>
            <w:shd w:val="clear" w:color="000000" w:fill="FCD5B4"/>
            <w:noWrap/>
            <w:vAlign w:val="bottom"/>
            <w:hideMark/>
          </w:tcPr>
          <w:p w14:paraId="4D244C30"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25.7%</w:t>
            </w:r>
          </w:p>
        </w:tc>
        <w:tc>
          <w:tcPr>
            <w:tcW w:w="1451" w:type="dxa"/>
            <w:tcBorders>
              <w:top w:val="nil"/>
              <w:left w:val="nil"/>
              <w:bottom w:val="nil"/>
              <w:right w:val="nil"/>
            </w:tcBorders>
            <w:shd w:val="clear" w:color="000000" w:fill="FCD5B4"/>
            <w:noWrap/>
            <w:vAlign w:val="bottom"/>
            <w:hideMark/>
          </w:tcPr>
          <w:p w14:paraId="048B98E5"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31.8%</w:t>
            </w:r>
          </w:p>
        </w:tc>
        <w:tc>
          <w:tcPr>
            <w:tcW w:w="1320" w:type="dxa"/>
            <w:tcBorders>
              <w:top w:val="nil"/>
              <w:left w:val="nil"/>
              <w:bottom w:val="nil"/>
              <w:right w:val="nil"/>
            </w:tcBorders>
            <w:shd w:val="clear" w:color="000000" w:fill="FCD5B4"/>
            <w:noWrap/>
            <w:vAlign w:val="bottom"/>
            <w:hideMark/>
          </w:tcPr>
          <w:p w14:paraId="7A75394B"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27.2%</w:t>
            </w:r>
          </w:p>
        </w:tc>
        <w:tc>
          <w:tcPr>
            <w:tcW w:w="1451" w:type="dxa"/>
            <w:tcBorders>
              <w:top w:val="nil"/>
              <w:left w:val="nil"/>
              <w:bottom w:val="nil"/>
              <w:right w:val="nil"/>
            </w:tcBorders>
            <w:shd w:val="clear" w:color="000000" w:fill="FCD5B4"/>
            <w:noWrap/>
            <w:vAlign w:val="bottom"/>
            <w:hideMark/>
          </w:tcPr>
          <w:p w14:paraId="7E23E39C"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23.7%</w:t>
            </w:r>
          </w:p>
        </w:tc>
      </w:tr>
      <w:tr w:rsidR="00CC1762" w:rsidRPr="007D0ABE" w14:paraId="3FC9480F" w14:textId="77777777" w:rsidTr="005A43C1">
        <w:trPr>
          <w:trHeight w:val="480"/>
        </w:trPr>
        <w:tc>
          <w:tcPr>
            <w:tcW w:w="1721" w:type="dxa"/>
            <w:tcBorders>
              <w:top w:val="nil"/>
              <w:left w:val="nil"/>
              <w:bottom w:val="nil"/>
              <w:right w:val="nil"/>
            </w:tcBorders>
            <w:shd w:val="clear" w:color="000000" w:fill="76933C"/>
            <w:vAlign w:val="bottom"/>
            <w:hideMark/>
          </w:tcPr>
          <w:p w14:paraId="4266C9C3"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Low exposure combinations</w:t>
            </w:r>
          </w:p>
        </w:tc>
        <w:tc>
          <w:tcPr>
            <w:tcW w:w="2717" w:type="dxa"/>
            <w:tcBorders>
              <w:top w:val="nil"/>
              <w:left w:val="nil"/>
              <w:bottom w:val="nil"/>
              <w:right w:val="nil"/>
            </w:tcBorders>
            <w:shd w:val="clear" w:color="000000" w:fill="D8E4BC"/>
            <w:vAlign w:val="bottom"/>
            <w:hideMark/>
          </w:tcPr>
          <w:p w14:paraId="7C571175"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26:Not </w:t>
            </w:r>
            <w:proofErr w:type="spellStart"/>
            <w:r w:rsidRPr="007D0ABE">
              <w:rPr>
                <w:rFonts w:ascii="Calibri" w:eastAsia="Times New Roman" w:hAnsi="Calibri" w:cs="Times New Roman"/>
                <w:color w:val="000000"/>
                <w:sz w:val="18"/>
                <w:szCs w:val="18"/>
              </w:rPr>
              <w:t>close_Primarily</w:t>
            </w:r>
            <w:proofErr w:type="spellEnd"/>
            <w:r w:rsidRPr="007D0ABE">
              <w:rPr>
                <w:rFonts w:ascii="Calibri" w:eastAsia="Times New Roman" w:hAnsi="Calibri" w:cs="Times New Roman"/>
                <w:color w:val="000000"/>
                <w:sz w:val="18"/>
                <w:szCs w:val="18"/>
              </w:rPr>
              <w:t xml:space="preserve"> </w:t>
            </w:r>
            <w:proofErr w:type="spellStart"/>
            <w:r w:rsidRPr="007D0ABE">
              <w:rPr>
                <w:rFonts w:ascii="Calibri" w:eastAsia="Times New Roman" w:hAnsi="Calibri" w:cs="Times New Roman"/>
                <w:color w:val="000000"/>
                <w:sz w:val="18"/>
                <w:szCs w:val="18"/>
              </w:rPr>
              <w:t>indoor_Not</w:t>
            </w:r>
            <w:proofErr w:type="spellEnd"/>
            <w:r w:rsidRPr="007D0ABE">
              <w:rPr>
                <w:rFonts w:ascii="Calibri" w:eastAsia="Times New Roman" w:hAnsi="Calibri" w:cs="Times New Roman"/>
                <w:color w:val="000000"/>
                <w:sz w:val="18"/>
                <w:szCs w:val="18"/>
              </w:rPr>
              <w:t xml:space="preserve"> public face</w:t>
            </w:r>
          </w:p>
        </w:tc>
        <w:tc>
          <w:tcPr>
            <w:tcW w:w="1320" w:type="dxa"/>
            <w:tcBorders>
              <w:top w:val="nil"/>
              <w:left w:val="nil"/>
              <w:bottom w:val="nil"/>
              <w:right w:val="nil"/>
            </w:tcBorders>
            <w:shd w:val="clear" w:color="000000" w:fill="D8E4BC"/>
            <w:noWrap/>
            <w:vAlign w:val="bottom"/>
            <w:hideMark/>
          </w:tcPr>
          <w:p w14:paraId="3345AA9E"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30.7%</w:t>
            </w:r>
          </w:p>
        </w:tc>
        <w:tc>
          <w:tcPr>
            <w:tcW w:w="1451" w:type="dxa"/>
            <w:tcBorders>
              <w:top w:val="nil"/>
              <w:left w:val="nil"/>
              <w:bottom w:val="nil"/>
              <w:right w:val="nil"/>
            </w:tcBorders>
            <w:shd w:val="clear" w:color="000000" w:fill="D8E4BC"/>
            <w:noWrap/>
            <w:vAlign w:val="bottom"/>
            <w:hideMark/>
          </w:tcPr>
          <w:p w14:paraId="12AF45A5"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23.1%</w:t>
            </w:r>
          </w:p>
        </w:tc>
        <w:tc>
          <w:tcPr>
            <w:tcW w:w="1320" w:type="dxa"/>
            <w:tcBorders>
              <w:top w:val="nil"/>
              <w:left w:val="nil"/>
              <w:bottom w:val="nil"/>
              <w:right w:val="nil"/>
            </w:tcBorders>
            <w:shd w:val="clear" w:color="000000" w:fill="D8E4BC"/>
            <w:noWrap/>
            <w:vAlign w:val="bottom"/>
            <w:hideMark/>
          </w:tcPr>
          <w:p w14:paraId="690F810A"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16.5%</w:t>
            </w:r>
          </w:p>
        </w:tc>
        <w:tc>
          <w:tcPr>
            <w:tcW w:w="1451" w:type="dxa"/>
            <w:tcBorders>
              <w:top w:val="nil"/>
              <w:left w:val="nil"/>
              <w:bottom w:val="nil"/>
              <w:right w:val="nil"/>
            </w:tcBorders>
            <w:shd w:val="clear" w:color="000000" w:fill="D8E4BC"/>
            <w:noWrap/>
            <w:vAlign w:val="bottom"/>
            <w:hideMark/>
          </w:tcPr>
          <w:p w14:paraId="12D63C05"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16.5%</w:t>
            </w:r>
          </w:p>
        </w:tc>
      </w:tr>
      <w:tr w:rsidR="00CC1762" w:rsidRPr="007D0ABE" w14:paraId="26A48B90" w14:textId="77777777" w:rsidTr="005A43C1">
        <w:trPr>
          <w:trHeight w:val="480"/>
        </w:trPr>
        <w:tc>
          <w:tcPr>
            <w:tcW w:w="1721" w:type="dxa"/>
            <w:tcBorders>
              <w:top w:val="nil"/>
              <w:left w:val="nil"/>
              <w:bottom w:val="nil"/>
              <w:right w:val="nil"/>
            </w:tcBorders>
            <w:shd w:val="clear" w:color="000000" w:fill="76933C"/>
            <w:vAlign w:val="bottom"/>
            <w:hideMark/>
          </w:tcPr>
          <w:p w14:paraId="27DE42CA"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Low exposure combinations</w:t>
            </w:r>
          </w:p>
        </w:tc>
        <w:tc>
          <w:tcPr>
            <w:tcW w:w="2717" w:type="dxa"/>
            <w:tcBorders>
              <w:top w:val="nil"/>
              <w:left w:val="nil"/>
              <w:bottom w:val="nil"/>
              <w:right w:val="nil"/>
            </w:tcBorders>
            <w:shd w:val="clear" w:color="000000" w:fill="D8E4BC"/>
            <w:vAlign w:val="bottom"/>
            <w:hideMark/>
          </w:tcPr>
          <w:p w14:paraId="14B502F9"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28:Not </w:t>
            </w:r>
            <w:proofErr w:type="spellStart"/>
            <w:r w:rsidRPr="007D0ABE">
              <w:rPr>
                <w:rFonts w:ascii="Calibri" w:eastAsia="Times New Roman" w:hAnsi="Calibri" w:cs="Times New Roman"/>
                <w:color w:val="000000"/>
                <w:sz w:val="18"/>
                <w:szCs w:val="18"/>
              </w:rPr>
              <w:t>close_Oft</w:t>
            </w:r>
            <w:proofErr w:type="spellEnd"/>
            <w:r w:rsidRPr="007D0ABE">
              <w:rPr>
                <w:rFonts w:ascii="Calibri" w:eastAsia="Times New Roman" w:hAnsi="Calibri" w:cs="Times New Roman"/>
                <w:color w:val="000000"/>
                <w:sz w:val="18"/>
                <w:szCs w:val="18"/>
              </w:rPr>
              <w:t xml:space="preserve"> </w:t>
            </w:r>
            <w:proofErr w:type="spellStart"/>
            <w:r w:rsidRPr="007D0ABE">
              <w:rPr>
                <w:rFonts w:ascii="Calibri" w:eastAsia="Times New Roman" w:hAnsi="Calibri" w:cs="Times New Roman"/>
                <w:color w:val="000000"/>
                <w:sz w:val="18"/>
                <w:szCs w:val="18"/>
              </w:rPr>
              <w:t>indoor_Not</w:t>
            </w:r>
            <w:proofErr w:type="spellEnd"/>
            <w:r w:rsidRPr="007D0ABE">
              <w:rPr>
                <w:rFonts w:ascii="Calibri" w:eastAsia="Times New Roman" w:hAnsi="Calibri" w:cs="Times New Roman"/>
                <w:color w:val="000000"/>
                <w:sz w:val="18"/>
                <w:szCs w:val="18"/>
              </w:rPr>
              <w:t xml:space="preserve"> public face</w:t>
            </w:r>
          </w:p>
        </w:tc>
        <w:tc>
          <w:tcPr>
            <w:tcW w:w="1320" w:type="dxa"/>
            <w:tcBorders>
              <w:top w:val="nil"/>
              <w:left w:val="nil"/>
              <w:bottom w:val="nil"/>
              <w:right w:val="nil"/>
            </w:tcBorders>
            <w:shd w:val="clear" w:color="000000" w:fill="D8E4BC"/>
            <w:noWrap/>
            <w:vAlign w:val="bottom"/>
            <w:hideMark/>
          </w:tcPr>
          <w:p w14:paraId="7F3FB7C9"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5.6%</w:t>
            </w:r>
          </w:p>
        </w:tc>
        <w:tc>
          <w:tcPr>
            <w:tcW w:w="1451" w:type="dxa"/>
            <w:tcBorders>
              <w:top w:val="nil"/>
              <w:left w:val="nil"/>
              <w:bottom w:val="nil"/>
              <w:right w:val="nil"/>
            </w:tcBorders>
            <w:shd w:val="clear" w:color="000000" w:fill="D8E4BC"/>
            <w:noWrap/>
            <w:vAlign w:val="bottom"/>
            <w:hideMark/>
          </w:tcPr>
          <w:p w14:paraId="4A7A961A"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2.0%</w:t>
            </w:r>
          </w:p>
        </w:tc>
        <w:tc>
          <w:tcPr>
            <w:tcW w:w="1320" w:type="dxa"/>
            <w:tcBorders>
              <w:top w:val="nil"/>
              <w:left w:val="nil"/>
              <w:bottom w:val="nil"/>
              <w:right w:val="nil"/>
            </w:tcBorders>
            <w:shd w:val="clear" w:color="000000" w:fill="D8E4BC"/>
            <w:noWrap/>
            <w:vAlign w:val="bottom"/>
            <w:hideMark/>
          </w:tcPr>
          <w:p w14:paraId="5BDD357E"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1.2%</w:t>
            </w:r>
          </w:p>
        </w:tc>
        <w:tc>
          <w:tcPr>
            <w:tcW w:w="1451" w:type="dxa"/>
            <w:tcBorders>
              <w:top w:val="nil"/>
              <w:left w:val="nil"/>
              <w:bottom w:val="nil"/>
              <w:right w:val="nil"/>
            </w:tcBorders>
            <w:shd w:val="clear" w:color="000000" w:fill="D8E4BC"/>
            <w:noWrap/>
            <w:vAlign w:val="bottom"/>
            <w:hideMark/>
          </w:tcPr>
          <w:p w14:paraId="5059F8A4"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1.2%</w:t>
            </w:r>
          </w:p>
        </w:tc>
      </w:tr>
      <w:tr w:rsidR="00CC1762" w:rsidRPr="007D0ABE" w14:paraId="2E2087E1" w14:textId="77777777" w:rsidTr="005A43C1">
        <w:trPr>
          <w:trHeight w:val="480"/>
        </w:trPr>
        <w:tc>
          <w:tcPr>
            <w:tcW w:w="1721" w:type="dxa"/>
            <w:tcBorders>
              <w:top w:val="nil"/>
              <w:left w:val="nil"/>
              <w:bottom w:val="nil"/>
              <w:right w:val="nil"/>
            </w:tcBorders>
            <w:shd w:val="clear" w:color="000000" w:fill="76933C"/>
            <w:vAlign w:val="bottom"/>
            <w:hideMark/>
          </w:tcPr>
          <w:p w14:paraId="118AE0F1"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Low exposure combinations</w:t>
            </w:r>
          </w:p>
        </w:tc>
        <w:tc>
          <w:tcPr>
            <w:tcW w:w="2717" w:type="dxa"/>
            <w:tcBorders>
              <w:top w:val="nil"/>
              <w:left w:val="nil"/>
              <w:bottom w:val="nil"/>
              <w:right w:val="nil"/>
            </w:tcBorders>
            <w:shd w:val="clear" w:color="000000" w:fill="D8E4BC"/>
            <w:vAlign w:val="bottom"/>
            <w:hideMark/>
          </w:tcPr>
          <w:p w14:paraId="17E437EC"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29:Not </w:t>
            </w:r>
            <w:proofErr w:type="spellStart"/>
            <w:r w:rsidRPr="007D0ABE">
              <w:rPr>
                <w:rFonts w:ascii="Calibri" w:eastAsia="Times New Roman" w:hAnsi="Calibri" w:cs="Times New Roman"/>
                <w:color w:val="000000"/>
                <w:sz w:val="18"/>
                <w:szCs w:val="18"/>
              </w:rPr>
              <w:t>close_Oft</w:t>
            </w:r>
            <w:proofErr w:type="spellEnd"/>
            <w:r w:rsidRPr="007D0ABE">
              <w:rPr>
                <w:rFonts w:ascii="Calibri" w:eastAsia="Times New Roman" w:hAnsi="Calibri" w:cs="Times New Roman"/>
                <w:color w:val="000000"/>
                <w:sz w:val="18"/>
                <w:szCs w:val="18"/>
              </w:rPr>
              <w:t xml:space="preserve"> </w:t>
            </w:r>
            <w:proofErr w:type="spellStart"/>
            <w:r w:rsidRPr="007D0ABE">
              <w:rPr>
                <w:rFonts w:ascii="Calibri" w:eastAsia="Times New Roman" w:hAnsi="Calibri" w:cs="Times New Roman"/>
                <w:color w:val="000000"/>
                <w:sz w:val="18"/>
                <w:szCs w:val="18"/>
              </w:rPr>
              <w:t>outdoor_Not</w:t>
            </w:r>
            <w:proofErr w:type="spellEnd"/>
            <w:r w:rsidRPr="007D0ABE">
              <w:rPr>
                <w:rFonts w:ascii="Calibri" w:eastAsia="Times New Roman" w:hAnsi="Calibri" w:cs="Times New Roman"/>
                <w:color w:val="000000"/>
                <w:sz w:val="18"/>
                <w:szCs w:val="18"/>
              </w:rPr>
              <w:t xml:space="preserve"> public face</w:t>
            </w:r>
          </w:p>
        </w:tc>
        <w:tc>
          <w:tcPr>
            <w:tcW w:w="1320" w:type="dxa"/>
            <w:tcBorders>
              <w:top w:val="nil"/>
              <w:left w:val="nil"/>
              <w:bottom w:val="nil"/>
              <w:right w:val="nil"/>
            </w:tcBorders>
            <w:shd w:val="clear" w:color="000000" w:fill="D8E4BC"/>
            <w:noWrap/>
            <w:vAlign w:val="bottom"/>
            <w:hideMark/>
          </w:tcPr>
          <w:p w14:paraId="29421F52"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4.3%</w:t>
            </w:r>
          </w:p>
        </w:tc>
        <w:tc>
          <w:tcPr>
            <w:tcW w:w="1451" w:type="dxa"/>
            <w:tcBorders>
              <w:top w:val="nil"/>
              <w:left w:val="nil"/>
              <w:bottom w:val="nil"/>
              <w:right w:val="nil"/>
            </w:tcBorders>
            <w:shd w:val="clear" w:color="000000" w:fill="D8E4BC"/>
            <w:noWrap/>
            <w:vAlign w:val="bottom"/>
            <w:hideMark/>
          </w:tcPr>
          <w:p w14:paraId="68B8444F"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4.5%</w:t>
            </w:r>
          </w:p>
        </w:tc>
        <w:tc>
          <w:tcPr>
            <w:tcW w:w="1320" w:type="dxa"/>
            <w:tcBorders>
              <w:top w:val="nil"/>
              <w:left w:val="nil"/>
              <w:bottom w:val="nil"/>
              <w:right w:val="nil"/>
            </w:tcBorders>
            <w:shd w:val="clear" w:color="000000" w:fill="D8E4BC"/>
            <w:noWrap/>
            <w:vAlign w:val="bottom"/>
            <w:hideMark/>
          </w:tcPr>
          <w:p w14:paraId="00217B65"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3.0%</w:t>
            </w:r>
          </w:p>
        </w:tc>
        <w:tc>
          <w:tcPr>
            <w:tcW w:w="1451" w:type="dxa"/>
            <w:tcBorders>
              <w:top w:val="nil"/>
              <w:left w:val="nil"/>
              <w:bottom w:val="nil"/>
              <w:right w:val="nil"/>
            </w:tcBorders>
            <w:shd w:val="clear" w:color="000000" w:fill="D8E4BC"/>
            <w:noWrap/>
            <w:vAlign w:val="bottom"/>
            <w:hideMark/>
          </w:tcPr>
          <w:p w14:paraId="1F878C5D"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3.0%</w:t>
            </w:r>
          </w:p>
        </w:tc>
      </w:tr>
      <w:tr w:rsidR="00CC1762" w:rsidRPr="007D0ABE" w14:paraId="0DFB16B8" w14:textId="77777777" w:rsidTr="005A43C1">
        <w:trPr>
          <w:trHeight w:val="480"/>
        </w:trPr>
        <w:tc>
          <w:tcPr>
            <w:tcW w:w="1721" w:type="dxa"/>
            <w:tcBorders>
              <w:top w:val="nil"/>
              <w:left w:val="nil"/>
              <w:bottom w:val="nil"/>
              <w:right w:val="nil"/>
            </w:tcBorders>
            <w:shd w:val="clear" w:color="000000" w:fill="76933C"/>
            <w:vAlign w:val="bottom"/>
            <w:hideMark/>
          </w:tcPr>
          <w:p w14:paraId="31099E87"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Low exposure combinations</w:t>
            </w:r>
          </w:p>
        </w:tc>
        <w:tc>
          <w:tcPr>
            <w:tcW w:w="2717" w:type="dxa"/>
            <w:tcBorders>
              <w:top w:val="nil"/>
              <w:left w:val="nil"/>
              <w:bottom w:val="nil"/>
              <w:right w:val="nil"/>
            </w:tcBorders>
            <w:shd w:val="clear" w:color="000000" w:fill="D8E4BC"/>
            <w:vAlign w:val="bottom"/>
            <w:hideMark/>
          </w:tcPr>
          <w:p w14:paraId="59136813" w14:textId="77777777" w:rsidR="00CC1762" w:rsidRPr="007D0ABE" w:rsidRDefault="00CC1762" w:rsidP="009D461A">
            <w:pPr>
              <w:spacing w:after="0" w:line="240" w:lineRule="auto"/>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 xml:space="preserve">Combo 32:Not </w:t>
            </w:r>
            <w:proofErr w:type="spellStart"/>
            <w:r w:rsidRPr="007D0ABE">
              <w:rPr>
                <w:rFonts w:ascii="Calibri" w:eastAsia="Times New Roman" w:hAnsi="Calibri" w:cs="Times New Roman"/>
                <w:color w:val="000000"/>
                <w:sz w:val="18"/>
                <w:szCs w:val="18"/>
              </w:rPr>
              <w:t>close_Primarily</w:t>
            </w:r>
            <w:proofErr w:type="spellEnd"/>
            <w:r w:rsidRPr="007D0ABE">
              <w:rPr>
                <w:rFonts w:ascii="Calibri" w:eastAsia="Times New Roman" w:hAnsi="Calibri" w:cs="Times New Roman"/>
                <w:color w:val="000000"/>
                <w:sz w:val="18"/>
                <w:szCs w:val="18"/>
              </w:rPr>
              <w:t xml:space="preserve"> </w:t>
            </w:r>
            <w:proofErr w:type="spellStart"/>
            <w:r w:rsidRPr="007D0ABE">
              <w:rPr>
                <w:rFonts w:ascii="Calibri" w:eastAsia="Times New Roman" w:hAnsi="Calibri" w:cs="Times New Roman"/>
                <w:color w:val="000000"/>
                <w:sz w:val="18"/>
                <w:szCs w:val="18"/>
              </w:rPr>
              <w:t>outdoor_Not</w:t>
            </w:r>
            <w:proofErr w:type="spellEnd"/>
            <w:r w:rsidRPr="007D0ABE">
              <w:rPr>
                <w:rFonts w:ascii="Calibri" w:eastAsia="Times New Roman" w:hAnsi="Calibri" w:cs="Times New Roman"/>
                <w:color w:val="000000"/>
                <w:sz w:val="18"/>
                <w:szCs w:val="18"/>
              </w:rPr>
              <w:t xml:space="preserve"> public face</w:t>
            </w:r>
          </w:p>
        </w:tc>
        <w:tc>
          <w:tcPr>
            <w:tcW w:w="1320" w:type="dxa"/>
            <w:tcBorders>
              <w:top w:val="nil"/>
              <w:left w:val="nil"/>
              <w:bottom w:val="nil"/>
              <w:right w:val="nil"/>
            </w:tcBorders>
            <w:shd w:val="clear" w:color="000000" w:fill="D8E4BC"/>
            <w:noWrap/>
            <w:vAlign w:val="bottom"/>
            <w:hideMark/>
          </w:tcPr>
          <w:p w14:paraId="588C823C"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2.0%</w:t>
            </w:r>
          </w:p>
        </w:tc>
        <w:tc>
          <w:tcPr>
            <w:tcW w:w="1451" w:type="dxa"/>
            <w:tcBorders>
              <w:top w:val="nil"/>
              <w:left w:val="nil"/>
              <w:bottom w:val="nil"/>
              <w:right w:val="nil"/>
            </w:tcBorders>
            <w:shd w:val="clear" w:color="000000" w:fill="D8E4BC"/>
            <w:noWrap/>
            <w:vAlign w:val="bottom"/>
            <w:hideMark/>
          </w:tcPr>
          <w:p w14:paraId="216D0FC4"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0.3%</w:t>
            </w:r>
          </w:p>
        </w:tc>
        <w:tc>
          <w:tcPr>
            <w:tcW w:w="1320" w:type="dxa"/>
            <w:tcBorders>
              <w:top w:val="nil"/>
              <w:left w:val="nil"/>
              <w:bottom w:val="nil"/>
              <w:right w:val="nil"/>
            </w:tcBorders>
            <w:shd w:val="clear" w:color="000000" w:fill="D8E4BC"/>
            <w:noWrap/>
            <w:vAlign w:val="bottom"/>
            <w:hideMark/>
          </w:tcPr>
          <w:p w14:paraId="70028F1E"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0.3%</w:t>
            </w:r>
          </w:p>
        </w:tc>
        <w:tc>
          <w:tcPr>
            <w:tcW w:w="1451" w:type="dxa"/>
            <w:tcBorders>
              <w:top w:val="nil"/>
              <w:left w:val="nil"/>
              <w:bottom w:val="nil"/>
              <w:right w:val="nil"/>
            </w:tcBorders>
            <w:shd w:val="clear" w:color="000000" w:fill="D8E4BC"/>
            <w:noWrap/>
            <w:vAlign w:val="bottom"/>
            <w:hideMark/>
          </w:tcPr>
          <w:p w14:paraId="2D396597"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0.3%</w:t>
            </w:r>
          </w:p>
        </w:tc>
      </w:tr>
      <w:tr w:rsidR="00CC1762" w:rsidRPr="007D0ABE" w14:paraId="4A8265E8" w14:textId="77777777" w:rsidTr="005A43C1">
        <w:trPr>
          <w:trHeight w:val="480"/>
        </w:trPr>
        <w:tc>
          <w:tcPr>
            <w:tcW w:w="1721" w:type="dxa"/>
            <w:tcBorders>
              <w:top w:val="nil"/>
              <w:left w:val="nil"/>
              <w:bottom w:val="nil"/>
              <w:right w:val="nil"/>
            </w:tcBorders>
            <w:shd w:val="clear" w:color="000000" w:fill="76933C"/>
            <w:vAlign w:val="bottom"/>
            <w:hideMark/>
          </w:tcPr>
          <w:p w14:paraId="74A3418B" w14:textId="77777777" w:rsidR="00CC1762" w:rsidRPr="007D0ABE" w:rsidRDefault="00CC1762" w:rsidP="009D461A">
            <w:pPr>
              <w:spacing w:after="0" w:line="240" w:lineRule="auto"/>
              <w:jc w:val="center"/>
              <w:rPr>
                <w:rFonts w:ascii="Calibri" w:eastAsia="Times New Roman" w:hAnsi="Calibri" w:cs="Times New Roman"/>
                <w:b/>
                <w:bCs/>
                <w:color w:val="FFFFFF"/>
                <w:sz w:val="18"/>
                <w:szCs w:val="18"/>
              </w:rPr>
            </w:pPr>
            <w:r w:rsidRPr="007D0ABE">
              <w:rPr>
                <w:rFonts w:ascii="Calibri" w:eastAsia="Times New Roman" w:hAnsi="Calibri" w:cs="Times New Roman"/>
                <w:b/>
                <w:bCs/>
                <w:color w:val="FFFFFF"/>
                <w:sz w:val="18"/>
                <w:szCs w:val="18"/>
              </w:rPr>
              <w:t>Low exposure combinations</w:t>
            </w:r>
          </w:p>
        </w:tc>
        <w:tc>
          <w:tcPr>
            <w:tcW w:w="2717" w:type="dxa"/>
            <w:tcBorders>
              <w:top w:val="nil"/>
              <w:left w:val="nil"/>
              <w:bottom w:val="nil"/>
              <w:right w:val="nil"/>
            </w:tcBorders>
            <w:shd w:val="clear" w:color="000000" w:fill="D8E4BC"/>
            <w:vAlign w:val="bottom"/>
            <w:hideMark/>
          </w:tcPr>
          <w:p w14:paraId="3616743F" w14:textId="77777777" w:rsidR="00CC1762" w:rsidRPr="007D0ABE" w:rsidRDefault="00CC1762" w:rsidP="009D461A">
            <w:pPr>
              <w:spacing w:after="0" w:line="240" w:lineRule="auto"/>
              <w:rPr>
                <w:rFonts w:ascii="Calibri" w:eastAsia="Times New Roman" w:hAnsi="Calibri" w:cs="Times New Roman"/>
                <w:b/>
                <w:bCs/>
                <w:i/>
                <w:iCs/>
                <w:color w:val="000000"/>
                <w:sz w:val="18"/>
                <w:szCs w:val="18"/>
              </w:rPr>
            </w:pPr>
            <w:r w:rsidRPr="007D0ABE">
              <w:rPr>
                <w:rFonts w:ascii="Calibri" w:eastAsia="Times New Roman" w:hAnsi="Calibri" w:cs="Times New Roman"/>
                <w:b/>
                <w:bCs/>
                <w:i/>
                <w:iCs/>
                <w:color w:val="000000"/>
                <w:sz w:val="18"/>
                <w:szCs w:val="18"/>
              </w:rPr>
              <w:t>Low Total</w:t>
            </w:r>
          </w:p>
        </w:tc>
        <w:tc>
          <w:tcPr>
            <w:tcW w:w="1320" w:type="dxa"/>
            <w:tcBorders>
              <w:top w:val="nil"/>
              <w:left w:val="nil"/>
              <w:bottom w:val="nil"/>
              <w:right w:val="nil"/>
            </w:tcBorders>
            <w:shd w:val="clear" w:color="000000" w:fill="D8E4BC"/>
            <w:noWrap/>
            <w:vAlign w:val="bottom"/>
            <w:hideMark/>
          </w:tcPr>
          <w:p w14:paraId="16766D61" w14:textId="77777777" w:rsidR="00CC1762" w:rsidRPr="007D0ABE" w:rsidRDefault="00CC1762" w:rsidP="009D461A">
            <w:pPr>
              <w:spacing w:after="0" w:line="240" w:lineRule="auto"/>
              <w:jc w:val="center"/>
              <w:rPr>
                <w:rFonts w:ascii="Calibri" w:eastAsia="Times New Roman" w:hAnsi="Calibri" w:cs="Times New Roman"/>
                <w:b/>
                <w:bCs/>
                <w:i/>
                <w:iCs/>
                <w:color w:val="000000"/>
                <w:sz w:val="18"/>
                <w:szCs w:val="18"/>
              </w:rPr>
            </w:pPr>
            <w:r w:rsidRPr="007D0ABE">
              <w:rPr>
                <w:rFonts w:ascii="Calibri" w:eastAsia="Times New Roman" w:hAnsi="Calibri" w:cs="Times New Roman"/>
                <w:b/>
                <w:bCs/>
                <w:i/>
                <w:iCs/>
                <w:color w:val="000000"/>
                <w:sz w:val="18"/>
                <w:szCs w:val="18"/>
              </w:rPr>
              <w:t>42.7%</w:t>
            </w:r>
          </w:p>
        </w:tc>
        <w:tc>
          <w:tcPr>
            <w:tcW w:w="1451" w:type="dxa"/>
            <w:tcBorders>
              <w:top w:val="nil"/>
              <w:left w:val="nil"/>
              <w:bottom w:val="nil"/>
              <w:right w:val="nil"/>
            </w:tcBorders>
            <w:shd w:val="clear" w:color="000000" w:fill="D8E4BC"/>
            <w:noWrap/>
            <w:vAlign w:val="bottom"/>
            <w:hideMark/>
          </w:tcPr>
          <w:p w14:paraId="584EE992"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29.9%</w:t>
            </w:r>
          </w:p>
        </w:tc>
        <w:tc>
          <w:tcPr>
            <w:tcW w:w="1320" w:type="dxa"/>
            <w:tcBorders>
              <w:top w:val="nil"/>
              <w:left w:val="nil"/>
              <w:bottom w:val="nil"/>
              <w:right w:val="nil"/>
            </w:tcBorders>
            <w:shd w:val="clear" w:color="000000" w:fill="D8E4BC"/>
            <w:noWrap/>
            <w:vAlign w:val="bottom"/>
            <w:hideMark/>
          </w:tcPr>
          <w:p w14:paraId="66635CE1"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33.2%</w:t>
            </w:r>
          </w:p>
        </w:tc>
        <w:tc>
          <w:tcPr>
            <w:tcW w:w="1451" w:type="dxa"/>
            <w:tcBorders>
              <w:top w:val="nil"/>
              <w:left w:val="nil"/>
              <w:bottom w:val="nil"/>
              <w:right w:val="nil"/>
            </w:tcBorders>
            <w:shd w:val="clear" w:color="000000" w:fill="D8E4BC"/>
            <w:noWrap/>
            <w:vAlign w:val="bottom"/>
            <w:hideMark/>
          </w:tcPr>
          <w:p w14:paraId="0CEF1196" w14:textId="77777777" w:rsidR="00CC1762" w:rsidRPr="007D0ABE" w:rsidRDefault="00CC1762" w:rsidP="009D461A">
            <w:pPr>
              <w:spacing w:after="0" w:line="240" w:lineRule="auto"/>
              <w:jc w:val="center"/>
              <w:rPr>
                <w:rFonts w:ascii="Calibri" w:eastAsia="Times New Roman" w:hAnsi="Calibri" w:cs="Times New Roman"/>
                <w:color w:val="000000"/>
                <w:sz w:val="18"/>
                <w:szCs w:val="18"/>
              </w:rPr>
            </w:pPr>
            <w:r w:rsidRPr="007D0ABE">
              <w:rPr>
                <w:rFonts w:ascii="Calibri" w:eastAsia="Times New Roman" w:hAnsi="Calibri" w:cs="Times New Roman"/>
                <w:color w:val="000000"/>
                <w:sz w:val="18"/>
                <w:szCs w:val="18"/>
              </w:rPr>
              <w:t>21.0%</w:t>
            </w:r>
          </w:p>
        </w:tc>
      </w:tr>
    </w:tbl>
    <w:p w14:paraId="25391764" w14:textId="70B6A80B" w:rsidR="0073095C" w:rsidRPr="004903C9" w:rsidRDefault="004903C9" w:rsidP="004903C9">
      <w:pPr>
        <w:spacing w:before="100" w:beforeAutospacing="1" w:after="120"/>
        <w:rPr>
          <w:i/>
          <w:sz w:val="18"/>
          <w:szCs w:val="18"/>
        </w:rPr>
      </w:pPr>
      <w:r w:rsidRPr="004903C9">
        <w:rPr>
          <w:rFonts w:cstheme="minorHAnsi"/>
          <w:iCs/>
          <w:vertAlign w:val="superscript"/>
        </w:rPr>
        <w:t>a</w:t>
      </w:r>
      <w:r>
        <w:rPr>
          <w:rFonts w:cstheme="minorHAnsi"/>
          <w:iCs/>
          <w:vertAlign w:val="superscript"/>
        </w:rPr>
        <w:t>.</w:t>
      </w:r>
      <w:r w:rsidRPr="004903C9">
        <w:rPr>
          <w:rFonts w:cstheme="minorHAnsi"/>
          <w:i/>
          <w:sz w:val="18"/>
          <w:szCs w:val="18"/>
        </w:rPr>
        <w:t xml:space="preserve"> </w:t>
      </w:r>
      <w:r w:rsidRPr="00A2143C">
        <w:rPr>
          <w:rFonts w:cstheme="minorHAnsi"/>
          <w:iCs/>
          <w:sz w:val="18"/>
          <w:szCs w:val="18"/>
        </w:rPr>
        <w:t>SOC (2010) 6-digit. Excludes 47 SOC occupations for which O*NET does not collect information.</w:t>
      </w:r>
      <w:r w:rsidRPr="00A2143C">
        <w:rPr>
          <w:rFonts w:cstheme="minorHAnsi"/>
          <w:iCs/>
          <w:sz w:val="18"/>
          <w:szCs w:val="18"/>
        </w:rPr>
        <w:br/>
      </w:r>
      <w:r w:rsidRPr="004903C9">
        <w:rPr>
          <w:rFonts w:cstheme="minorHAnsi"/>
          <w:iCs/>
          <w:vertAlign w:val="superscript"/>
        </w:rPr>
        <w:t>b</w:t>
      </w:r>
      <w:r w:rsidRPr="007F46D0">
        <w:rPr>
          <w:rFonts w:cstheme="minorHAnsi"/>
          <w:iCs/>
          <w:vertAlign w:val="superscript"/>
        </w:rPr>
        <w:t>.</w:t>
      </w:r>
      <w:r w:rsidRPr="00A2143C">
        <w:rPr>
          <w:rFonts w:cstheme="minorHAnsi"/>
          <w:iCs/>
          <w:sz w:val="18"/>
          <w:szCs w:val="18"/>
        </w:rPr>
        <w:t xml:space="preserve"> Source: BLS Occupational Employment Statistics, national estimates, 2019. Excludes the self-employed and workers on farms.</w:t>
      </w:r>
      <w:r w:rsidR="00F24391" w:rsidRPr="007F46D0">
        <w:rPr>
          <w:iCs/>
        </w:rPr>
        <w:t xml:space="preserve"> </w:t>
      </w:r>
      <w:r w:rsidRPr="00A2143C">
        <w:rPr>
          <w:rFonts w:cstheme="minorHAnsi"/>
          <w:iCs/>
          <w:sz w:val="18"/>
          <w:szCs w:val="18"/>
        </w:rPr>
        <w:br/>
      </w:r>
      <w:r w:rsidRPr="004903C9">
        <w:rPr>
          <w:iCs/>
          <w:vertAlign w:val="superscript"/>
        </w:rPr>
        <w:t xml:space="preserve">c. </w:t>
      </w:r>
      <w:r w:rsidRPr="00A2143C">
        <w:rPr>
          <w:iCs/>
          <w:sz w:val="18"/>
          <w:szCs w:val="18"/>
        </w:rPr>
        <w:t>There were no occupations in Combinations 16 (Close, primarily outdoors, not public facing) and 23 (Somewhat close, primarily outdoor, public facing.)</w:t>
      </w:r>
    </w:p>
    <w:p w14:paraId="1F2ED22D" w14:textId="77777777" w:rsidR="003C1062" w:rsidRDefault="003C1062" w:rsidP="003C1062">
      <w:pPr>
        <w:keepNext/>
        <w:keepLines/>
        <w:rPr>
          <w:rFonts w:cstheme="minorHAnsi"/>
          <w:b/>
        </w:rPr>
      </w:pPr>
      <w:r>
        <w:rPr>
          <w:rFonts w:cstheme="minorHAnsi"/>
          <w:b/>
        </w:rPr>
        <w:t>Summary f</w:t>
      </w:r>
      <w:r w:rsidRPr="00814B80">
        <w:rPr>
          <w:rFonts w:cstheme="minorHAnsi"/>
          <w:b/>
        </w:rPr>
        <w:t>indings</w:t>
      </w:r>
    </w:p>
    <w:p w14:paraId="6241C33D" w14:textId="77777777" w:rsidR="003C1062" w:rsidRPr="003B2D3C" w:rsidRDefault="003C1062" w:rsidP="003C1062">
      <w:pPr>
        <w:keepNext/>
        <w:keepLines/>
        <w:rPr>
          <w:rFonts w:cstheme="minorHAnsi"/>
          <w:b/>
        </w:rPr>
      </w:pPr>
      <w:r w:rsidRPr="003B2D3C">
        <w:rPr>
          <w:rFonts w:cstheme="minorHAnsi"/>
        </w:rPr>
        <w:t xml:space="preserve">The distributions of SOC occupations and the U.S. non-HC workforce by </w:t>
      </w:r>
      <w:r w:rsidRPr="003B2D3C">
        <w:rPr>
          <w:rFonts w:cstheme="minorHAnsi"/>
          <w:i/>
        </w:rPr>
        <w:t xml:space="preserve">Combined Exposure Categories </w:t>
      </w:r>
      <w:r w:rsidRPr="003B2D3C">
        <w:rPr>
          <w:rFonts w:cstheme="minorHAnsi"/>
        </w:rPr>
        <w:t xml:space="preserve">sorted into higher, medium, and lower risk </w:t>
      </w:r>
      <w:r w:rsidRPr="003B2D3C">
        <w:rPr>
          <w:rFonts w:cstheme="minorHAnsi"/>
          <w:i/>
        </w:rPr>
        <w:t>Exposure Groups</w:t>
      </w:r>
      <w:r w:rsidRPr="003B2D3C">
        <w:rPr>
          <w:rFonts w:cstheme="minorHAnsi"/>
        </w:rPr>
        <w:t xml:space="preserve"> are presented in Table 4</w:t>
      </w:r>
      <w:r w:rsidRPr="003B2D3C">
        <w:rPr>
          <w:rFonts w:cstheme="minorHAnsi"/>
          <w:b/>
        </w:rPr>
        <w:t xml:space="preserve">. </w:t>
      </w:r>
    </w:p>
    <w:p w14:paraId="0FEBF286" w14:textId="77777777" w:rsidR="003C1062" w:rsidRPr="00200D1C" w:rsidRDefault="003C1062" w:rsidP="003C1062">
      <w:pPr>
        <w:pStyle w:val="ListParagraph"/>
        <w:numPr>
          <w:ilvl w:val="0"/>
          <w:numId w:val="7"/>
        </w:numPr>
        <w:ind w:left="360" w:hanging="270"/>
        <w:rPr>
          <w:rFonts w:cstheme="minorHAnsi"/>
          <w:i/>
        </w:rPr>
      </w:pPr>
      <w:r w:rsidRPr="003B2D3C">
        <w:rPr>
          <w:rFonts w:cstheme="minorHAnsi"/>
        </w:rPr>
        <w:t>3</w:t>
      </w:r>
      <w:r>
        <w:rPr>
          <w:rFonts w:cstheme="minorHAnsi"/>
        </w:rPr>
        <w:t>2</w:t>
      </w:r>
      <w:r w:rsidRPr="003B2D3C">
        <w:rPr>
          <w:rFonts w:cstheme="minorHAnsi"/>
        </w:rPr>
        <w:t>% of the 69</w:t>
      </w:r>
      <w:r>
        <w:rPr>
          <w:rFonts w:cstheme="minorHAnsi"/>
        </w:rPr>
        <w:t>6</w:t>
      </w:r>
      <w:r w:rsidRPr="003B2D3C">
        <w:rPr>
          <w:rFonts w:cstheme="minorHAnsi"/>
        </w:rPr>
        <w:t xml:space="preserve"> SOC occupations and 40% of the US non-HC workforce fell into the higher risk exposure group, based on </w:t>
      </w:r>
      <w:r w:rsidRPr="003B2D3C">
        <w:rPr>
          <w:rFonts w:cstheme="minorHAnsi"/>
          <w:i/>
        </w:rPr>
        <w:t>Close Proximity Measure 1.</w:t>
      </w:r>
      <w:r w:rsidRPr="003B2D3C">
        <w:rPr>
          <w:rFonts w:cstheme="minorHAnsi"/>
        </w:rPr>
        <w:t xml:space="preserve">   The share of the workforce increased to 55% </w:t>
      </w:r>
      <w:r w:rsidRPr="003B2D3C">
        <w:rPr>
          <w:rFonts w:cstheme="minorHAnsi"/>
          <w:iCs/>
        </w:rPr>
        <w:t>using</w:t>
      </w:r>
      <w:r w:rsidRPr="003B2D3C">
        <w:rPr>
          <w:rFonts w:cstheme="minorHAnsi"/>
          <w:i/>
        </w:rPr>
        <w:t xml:space="preserve"> Close Proximity Measure 2.</w:t>
      </w:r>
    </w:p>
    <w:p w14:paraId="69C3BFB7" w14:textId="77777777" w:rsidR="003C1062" w:rsidRPr="008001D9" w:rsidRDefault="003C1062" w:rsidP="003C1062">
      <w:pPr>
        <w:pStyle w:val="ListParagraph"/>
        <w:numPr>
          <w:ilvl w:val="0"/>
          <w:numId w:val="8"/>
        </w:numPr>
        <w:ind w:left="360" w:hanging="270"/>
        <w:rPr>
          <w:rFonts w:cstheme="minorHAnsi"/>
          <w:i/>
        </w:rPr>
      </w:pPr>
      <w:r w:rsidRPr="003B2D3C">
        <w:rPr>
          <w:rFonts w:cstheme="minorHAnsi"/>
        </w:rPr>
        <w:t xml:space="preserve">43% of occupations and 30% of the US non-HC workforce fell into the lower risk exposure group (using </w:t>
      </w:r>
      <w:r w:rsidRPr="003B2D3C">
        <w:rPr>
          <w:rFonts w:cstheme="minorHAnsi"/>
          <w:i/>
        </w:rPr>
        <w:t>Close Proximity Measure 1</w:t>
      </w:r>
      <w:r w:rsidRPr="003B2D3C">
        <w:rPr>
          <w:rFonts w:cstheme="minorHAnsi"/>
        </w:rPr>
        <w:t>) which decreased to 2</w:t>
      </w:r>
      <w:r>
        <w:rPr>
          <w:rFonts w:cstheme="minorHAnsi"/>
        </w:rPr>
        <w:t>1</w:t>
      </w:r>
      <w:r w:rsidRPr="003B2D3C">
        <w:rPr>
          <w:rFonts w:cstheme="minorHAnsi"/>
        </w:rPr>
        <w:t xml:space="preserve">% of the workforce using </w:t>
      </w:r>
      <w:r w:rsidRPr="003B2D3C">
        <w:rPr>
          <w:rFonts w:cstheme="minorHAnsi"/>
          <w:i/>
        </w:rPr>
        <w:t>Close Proximity Measure 2.</w:t>
      </w:r>
    </w:p>
    <w:p w14:paraId="5D06F7A2" w14:textId="0E3B9C19" w:rsidR="00EE5FA5" w:rsidRDefault="00DE08E0" w:rsidP="00BB415F">
      <w:pPr>
        <w:rPr>
          <w:noProof/>
        </w:rPr>
      </w:pPr>
      <w:r w:rsidRPr="002B0903">
        <w:rPr>
          <w:rFonts w:cstheme="minorHAnsi"/>
        </w:rPr>
        <w:t>Examples of occupations that fall into these grouping</w:t>
      </w:r>
      <w:r>
        <w:rPr>
          <w:rFonts w:cstheme="minorHAnsi"/>
        </w:rPr>
        <w:t>s</w:t>
      </w:r>
      <w:r w:rsidRPr="002B0903">
        <w:rPr>
          <w:rFonts w:cstheme="minorHAnsi"/>
        </w:rPr>
        <w:t xml:space="preserve"> (using </w:t>
      </w:r>
      <w:r w:rsidRPr="004F52FC">
        <w:rPr>
          <w:rFonts w:cstheme="minorHAnsi"/>
          <w:i/>
        </w:rPr>
        <w:t>Proximity Measure 2</w:t>
      </w:r>
      <w:r w:rsidRPr="002B0903">
        <w:rPr>
          <w:rFonts w:cstheme="minorHAnsi"/>
        </w:rPr>
        <w:t xml:space="preserve">) are presented </w:t>
      </w:r>
      <w:r w:rsidRPr="00445985">
        <w:rPr>
          <w:rFonts w:cstheme="minorHAnsi"/>
        </w:rPr>
        <w:t xml:space="preserve">in Figure </w:t>
      </w:r>
      <w:r>
        <w:rPr>
          <w:rFonts w:cstheme="minorHAnsi"/>
        </w:rPr>
        <w:t>1.</w:t>
      </w:r>
      <w:r w:rsidRPr="009231CF">
        <w:rPr>
          <w:noProof/>
        </w:rPr>
        <w:t xml:space="preserve"> </w:t>
      </w:r>
    </w:p>
    <w:p w14:paraId="1FE02AEC" w14:textId="75DB7048" w:rsidR="00DE0A76" w:rsidRDefault="00DE0A76" w:rsidP="00BB415F">
      <w:pPr>
        <w:rPr>
          <w:noProof/>
        </w:rPr>
      </w:pPr>
    </w:p>
    <w:p w14:paraId="7E6F5E1B" w14:textId="117A3E01" w:rsidR="00DE0A76" w:rsidRDefault="00DE0A76" w:rsidP="00BB415F">
      <w:pPr>
        <w:rPr>
          <w:noProof/>
        </w:rPr>
      </w:pPr>
    </w:p>
    <w:p w14:paraId="19A95A26" w14:textId="7AA5CBC5" w:rsidR="00DE0A76" w:rsidRDefault="00DE0A76" w:rsidP="00BB415F">
      <w:pPr>
        <w:rPr>
          <w:rFonts w:cstheme="minorHAnsi"/>
          <w:b/>
        </w:rPr>
      </w:pPr>
    </w:p>
    <w:p w14:paraId="458741D9" w14:textId="77777777" w:rsidR="005A43C1" w:rsidRPr="00EE5FA5" w:rsidRDefault="005A43C1" w:rsidP="00BB415F">
      <w:pPr>
        <w:rPr>
          <w:rFonts w:cstheme="minorHAnsi"/>
          <w:b/>
        </w:rPr>
      </w:pPr>
    </w:p>
    <w:p w14:paraId="0114F98C" w14:textId="5048B0D6" w:rsidR="00EE5FA5" w:rsidRDefault="00EE5FA5" w:rsidP="00EE5FA5">
      <w:pPr>
        <w:pStyle w:val="Caption"/>
      </w:pPr>
      <w:r>
        <w:t xml:space="preserve">Figure </w:t>
      </w:r>
      <w:r>
        <w:fldChar w:fldCharType="begin"/>
      </w:r>
      <w:r>
        <w:instrText>SEQ Figure \* ARABIC</w:instrText>
      </w:r>
      <w:r>
        <w:fldChar w:fldCharType="separate"/>
      </w:r>
      <w:r>
        <w:rPr>
          <w:noProof/>
        </w:rPr>
        <w:t>1</w:t>
      </w:r>
      <w:r>
        <w:fldChar w:fldCharType="end"/>
      </w:r>
      <w:r w:rsidRPr="006C3771">
        <w:t>. Examples of occupations</w:t>
      </w:r>
      <w:r w:rsidR="00F105FA" w:rsidRPr="00F105FA">
        <w:rPr>
          <w:smallCaps w:val="0"/>
          <w:vertAlign w:val="superscript"/>
        </w:rPr>
        <w:t xml:space="preserve"> </w:t>
      </w:r>
      <w:r w:rsidR="00F105FA" w:rsidRPr="0085716A">
        <w:rPr>
          <w:smallCaps w:val="0"/>
          <w:vertAlign w:val="superscript"/>
        </w:rPr>
        <w:t>a</w:t>
      </w:r>
      <w:r w:rsidRPr="006C3771">
        <w:t xml:space="preserve"> in High, Medium and Low Combined Exposure Categories</w:t>
      </w:r>
    </w:p>
    <w:tbl>
      <w:tblPr>
        <w:tblW w:w="9960" w:type="dxa"/>
        <w:tblLook w:val="04A0" w:firstRow="1" w:lastRow="0" w:firstColumn="1" w:lastColumn="0" w:noHBand="0" w:noVBand="1"/>
      </w:tblPr>
      <w:tblGrid>
        <w:gridCol w:w="3320"/>
        <w:gridCol w:w="3320"/>
        <w:gridCol w:w="3320"/>
      </w:tblGrid>
      <w:tr w:rsidR="00F0469B" w:rsidRPr="00F0469B" w14:paraId="3F887A90" w14:textId="77777777" w:rsidTr="00F0469B">
        <w:trPr>
          <w:trHeight w:val="420"/>
        </w:trPr>
        <w:tc>
          <w:tcPr>
            <w:tcW w:w="3320" w:type="dxa"/>
            <w:tcBorders>
              <w:top w:val="nil"/>
              <w:left w:val="nil"/>
              <w:bottom w:val="nil"/>
              <w:right w:val="nil"/>
            </w:tcBorders>
            <w:shd w:val="clear" w:color="000000" w:fill="C0504D"/>
            <w:vAlign w:val="bottom"/>
            <w:hideMark/>
          </w:tcPr>
          <w:p w14:paraId="2BE8B821" w14:textId="77777777" w:rsidR="00F0469B" w:rsidRPr="00F0469B" w:rsidRDefault="00F0469B" w:rsidP="00F0469B">
            <w:pPr>
              <w:spacing w:after="0" w:line="240" w:lineRule="auto"/>
              <w:jc w:val="center"/>
              <w:rPr>
                <w:rFonts w:ascii="Calibri" w:eastAsia="Times New Roman" w:hAnsi="Calibri" w:cs="Calibri"/>
                <w:b/>
                <w:bCs/>
                <w:color w:val="FFFFFF"/>
              </w:rPr>
            </w:pPr>
            <w:r w:rsidRPr="00F0469B">
              <w:rPr>
                <w:rFonts w:ascii="Calibri" w:eastAsia="Times New Roman" w:hAnsi="Calibri" w:cs="Calibri"/>
                <w:b/>
                <w:bCs/>
                <w:color w:val="FFFFFF"/>
              </w:rPr>
              <w:t>High</w:t>
            </w:r>
          </w:p>
        </w:tc>
        <w:tc>
          <w:tcPr>
            <w:tcW w:w="3320" w:type="dxa"/>
            <w:tcBorders>
              <w:top w:val="nil"/>
              <w:left w:val="nil"/>
              <w:bottom w:val="nil"/>
              <w:right w:val="nil"/>
            </w:tcBorders>
            <w:shd w:val="clear" w:color="000000" w:fill="E26B0A"/>
            <w:vAlign w:val="bottom"/>
            <w:hideMark/>
          </w:tcPr>
          <w:p w14:paraId="19EC8842" w14:textId="77777777" w:rsidR="00F0469B" w:rsidRPr="00F0469B" w:rsidRDefault="00F0469B" w:rsidP="00F0469B">
            <w:pPr>
              <w:spacing w:after="0" w:line="240" w:lineRule="auto"/>
              <w:jc w:val="center"/>
              <w:rPr>
                <w:rFonts w:ascii="Calibri" w:eastAsia="Times New Roman" w:hAnsi="Calibri" w:cs="Calibri"/>
                <w:b/>
                <w:bCs/>
                <w:color w:val="FFFFFF"/>
              </w:rPr>
            </w:pPr>
            <w:r w:rsidRPr="00F0469B">
              <w:rPr>
                <w:rFonts w:ascii="Calibri" w:eastAsia="Times New Roman" w:hAnsi="Calibri" w:cs="Calibri"/>
                <w:b/>
                <w:bCs/>
                <w:color w:val="FFFFFF"/>
              </w:rPr>
              <w:t>Medium</w:t>
            </w:r>
          </w:p>
        </w:tc>
        <w:tc>
          <w:tcPr>
            <w:tcW w:w="3320" w:type="dxa"/>
            <w:tcBorders>
              <w:top w:val="nil"/>
              <w:left w:val="nil"/>
              <w:bottom w:val="nil"/>
              <w:right w:val="nil"/>
            </w:tcBorders>
            <w:shd w:val="clear" w:color="000000" w:fill="76933C"/>
            <w:vAlign w:val="bottom"/>
            <w:hideMark/>
          </w:tcPr>
          <w:p w14:paraId="2233FD48" w14:textId="77777777" w:rsidR="00F0469B" w:rsidRPr="00F0469B" w:rsidRDefault="00F0469B" w:rsidP="00F0469B">
            <w:pPr>
              <w:spacing w:after="0" w:line="240" w:lineRule="auto"/>
              <w:jc w:val="center"/>
              <w:rPr>
                <w:rFonts w:ascii="Calibri" w:eastAsia="Times New Roman" w:hAnsi="Calibri" w:cs="Calibri"/>
                <w:b/>
                <w:bCs/>
                <w:color w:val="FFFFFF"/>
              </w:rPr>
            </w:pPr>
            <w:r w:rsidRPr="00F0469B">
              <w:rPr>
                <w:rFonts w:ascii="Calibri" w:eastAsia="Times New Roman" w:hAnsi="Calibri" w:cs="Calibri"/>
                <w:b/>
                <w:bCs/>
                <w:color w:val="FFFFFF"/>
              </w:rPr>
              <w:t>Low</w:t>
            </w:r>
          </w:p>
        </w:tc>
      </w:tr>
      <w:tr w:rsidR="00F0469B" w:rsidRPr="00F0469B" w14:paraId="185DEEFB" w14:textId="77777777" w:rsidTr="00F0469B">
        <w:trPr>
          <w:trHeight w:val="900"/>
        </w:trPr>
        <w:tc>
          <w:tcPr>
            <w:tcW w:w="3320" w:type="dxa"/>
            <w:tcBorders>
              <w:top w:val="nil"/>
              <w:left w:val="nil"/>
              <w:bottom w:val="nil"/>
              <w:right w:val="nil"/>
            </w:tcBorders>
            <w:shd w:val="clear" w:color="000000" w:fill="E6B8B7"/>
            <w:hideMark/>
          </w:tcPr>
          <w:p w14:paraId="71D2C41F"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•51-3023 Slaughterers and Meat Packers</w:t>
            </w:r>
          </w:p>
        </w:tc>
        <w:tc>
          <w:tcPr>
            <w:tcW w:w="3320" w:type="dxa"/>
            <w:tcBorders>
              <w:top w:val="nil"/>
              <w:left w:val="nil"/>
              <w:bottom w:val="nil"/>
              <w:right w:val="nil"/>
            </w:tcBorders>
            <w:shd w:val="clear" w:color="000000" w:fill="FCD5B4"/>
            <w:hideMark/>
          </w:tcPr>
          <w:p w14:paraId="3DBAC2FC"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•45-2092 Farmworkers and Laborers, Crop, Nursery, and Greenhouse</w:t>
            </w:r>
          </w:p>
        </w:tc>
        <w:tc>
          <w:tcPr>
            <w:tcW w:w="3320" w:type="dxa"/>
            <w:tcBorders>
              <w:top w:val="nil"/>
              <w:left w:val="nil"/>
              <w:bottom w:val="nil"/>
              <w:right w:val="nil"/>
            </w:tcBorders>
            <w:shd w:val="clear" w:color="000000" w:fill="D8E4BC"/>
            <w:hideMark/>
          </w:tcPr>
          <w:p w14:paraId="40D722C6"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•11-1011 Chief Executives</w:t>
            </w:r>
          </w:p>
        </w:tc>
      </w:tr>
      <w:tr w:rsidR="00F0469B" w:rsidRPr="00F0469B" w14:paraId="5EAB096F" w14:textId="77777777" w:rsidTr="00F0469B">
        <w:trPr>
          <w:trHeight w:val="600"/>
        </w:trPr>
        <w:tc>
          <w:tcPr>
            <w:tcW w:w="3320" w:type="dxa"/>
            <w:tcBorders>
              <w:top w:val="nil"/>
              <w:left w:val="nil"/>
              <w:bottom w:val="nil"/>
              <w:right w:val="nil"/>
            </w:tcBorders>
            <w:shd w:val="clear" w:color="000000" w:fill="E6B8B7"/>
            <w:hideMark/>
          </w:tcPr>
          <w:p w14:paraId="66A5DFFC"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 xml:space="preserve">•51-3092 Food </w:t>
            </w:r>
            <w:proofErr w:type="spellStart"/>
            <w:r w:rsidRPr="00F0469B">
              <w:rPr>
                <w:rFonts w:ascii="Calibri" w:eastAsia="Times New Roman" w:hAnsi="Calibri" w:cs="Calibri"/>
                <w:color w:val="000000"/>
              </w:rPr>
              <w:t>Batchmakers</w:t>
            </w:r>
            <w:proofErr w:type="spellEnd"/>
          </w:p>
        </w:tc>
        <w:tc>
          <w:tcPr>
            <w:tcW w:w="3320" w:type="dxa"/>
            <w:tcBorders>
              <w:top w:val="nil"/>
              <w:left w:val="nil"/>
              <w:bottom w:val="nil"/>
              <w:right w:val="nil"/>
            </w:tcBorders>
            <w:shd w:val="clear" w:color="000000" w:fill="FCD5B4"/>
            <w:hideMark/>
          </w:tcPr>
          <w:p w14:paraId="048EA75C"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•47-2031 Carpenters</w:t>
            </w:r>
          </w:p>
        </w:tc>
        <w:tc>
          <w:tcPr>
            <w:tcW w:w="3320" w:type="dxa"/>
            <w:tcBorders>
              <w:top w:val="nil"/>
              <w:left w:val="nil"/>
              <w:bottom w:val="nil"/>
              <w:right w:val="nil"/>
            </w:tcBorders>
            <w:shd w:val="clear" w:color="000000" w:fill="D8E4BC"/>
            <w:hideMark/>
          </w:tcPr>
          <w:p w14:paraId="6FB71B9B"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•11-3121 Human Resources Managers</w:t>
            </w:r>
          </w:p>
        </w:tc>
      </w:tr>
      <w:tr w:rsidR="00F0469B" w:rsidRPr="00F0469B" w14:paraId="74A290AE" w14:textId="77777777" w:rsidTr="00F0469B">
        <w:trPr>
          <w:trHeight w:val="315"/>
        </w:trPr>
        <w:tc>
          <w:tcPr>
            <w:tcW w:w="3320" w:type="dxa"/>
            <w:tcBorders>
              <w:top w:val="nil"/>
              <w:left w:val="nil"/>
              <w:bottom w:val="nil"/>
              <w:right w:val="nil"/>
            </w:tcBorders>
            <w:shd w:val="clear" w:color="000000" w:fill="E6B8B7"/>
            <w:hideMark/>
          </w:tcPr>
          <w:p w14:paraId="6295D88A"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•35-2011 Cooks, Fast Food</w:t>
            </w:r>
          </w:p>
        </w:tc>
        <w:tc>
          <w:tcPr>
            <w:tcW w:w="3320" w:type="dxa"/>
            <w:tcBorders>
              <w:top w:val="nil"/>
              <w:left w:val="nil"/>
              <w:bottom w:val="nil"/>
              <w:right w:val="nil"/>
            </w:tcBorders>
            <w:shd w:val="clear" w:color="000000" w:fill="FCD5B4"/>
            <w:hideMark/>
          </w:tcPr>
          <w:p w14:paraId="29A11195"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•47-2061 Construction Laborers</w:t>
            </w:r>
          </w:p>
        </w:tc>
        <w:tc>
          <w:tcPr>
            <w:tcW w:w="3320" w:type="dxa"/>
            <w:tcBorders>
              <w:top w:val="nil"/>
              <w:left w:val="nil"/>
              <w:bottom w:val="nil"/>
              <w:right w:val="nil"/>
            </w:tcBorders>
            <w:shd w:val="clear" w:color="000000" w:fill="D8E4BC"/>
            <w:hideMark/>
          </w:tcPr>
          <w:p w14:paraId="232C46BD"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•13-2051 Financial Analysts</w:t>
            </w:r>
          </w:p>
        </w:tc>
      </w:tr>
      <w:tr w:rsidR="00F0469B" w:rsidRPr="00F0469B" w14:paraId="5F3625C0" w14:textId="77777777" w:rsidTr="00F0469B">
        <w:trPr>
          <w:trHeight w:val="600"/>
        </w:trPr>
        <w:tc>
          <w:tcPr>
            <w:tcW w:w="3320" w:type="dxa"/>
            <w:tcBorders>
              <w:top w:val="nil"/>
              <w:left w:val="nil"/>
              <w:bottom w:val="nil"/>
              <w:right w:val="nil"/>
            </w:tcBorders>
            <w:shd w:val="clear" w:color="000000" w:fill="E6B8B7"/>
            <w:hideMark/>
          </w:tcPr>
          <w:p w14:paraId="1B95631E"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•37-2012 Maids &amp; Housekeeping Cleaners</w:t>
            </w:r>
          </w:p>
        </w:tc>
        <w:tc>
          <w:tcPr>
            <w:tcW w:w="3320" w:type="dxa"/>
            <w:tcBorders>
              <w:top w:val="nil"/>
              <w:left w:val="nil"/>
              <w:bottom w:val="nil"/>
              <w:right w:val="nil"/>
            </w:tcBorders>
            <w:shd w:val="clear" w:color="000000" w:fill="FCD5B4"/>
            <w:hideMark/>
          </w:tcPr>
          <w:p w14:paraId="4D082BC5"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•47-2111 Electricians</w:t>
            </w:r>
          </w:p>
        </w:tc>
        <w:tc>
          <w:tcPr>
            <w:tcW w:w="3320" w:type="dxa"/>
            <w:tcBorders>
              <w:top w:val="nil"/>
              <w:left w:val="nil"/>
              <w:bottom w:val="nil"/>
              <w:right w:val="nil"/>
            </w:tcBorders>
            <w:shd w:val="clear" w:color="000000" w:fill="D8E4BC"/>
            <w:hideMark/>
          </w:tcPr>
          <w:p w14:paraId="4D841568"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•15-1131 Computer Programmers</w:t>
            </w:r>
          </w:p>
        </w:tc>
      </w:tr>
      <w:tr w:rsidR="00F0469B" w:rsidRPr="00F0469B" w14:paraId="34B517B7" w14:textId="77777777" w:rsidTr="00F0469B">
        <w:trPr>
          <w:trHeight w:val="600"/>
        </w:trPr>
        <w:tc>
          <w:tcPr>
            <w:tcW w:w="3320" w:type="dxa"/>
            <w:tcBorders>
              <w:top w:val="nil"/>
              <w:left w:val="nil"/>
              <w:bottom w:val="nil"/>
              <w:right w:val="nil"/>
            </w:tcBorders>
            <w:shd w:val="clear" w:color="000000" w:fill="E6B8B7"/>
            <w:hideMark/>
          </w:tcPr>
          <w:p w14:paraId="3B5310F7"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•21-1021 Child, Family, and School Social Workers</w:t>
            </w:r>
          </w:p>
        </w:tc>
        <w:tc>
          <w:tcPr>
            <w:tcW w:w="3320" w:type="dxa"/>
            <w:tcBorders>
              <w:top w:val="nil"/>
              <w:left w:val="nil"/>
              <w:bottom w:val="nil"/>
              <w:right w:val="nil"/>
            </w:tcBorders>
            <w:shd w:val="clear" w:color="000000" w:fill="FCD5B4"/>
            <w:hideMark/>
          </w:tcPr>
          <w:p w14:paraId="7CBEA1E1"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•47-2181 Roofers</w:t>
            </w:r>
          </w:p>
        </w:tc>
        <w:tc>
          <w:tcPr>
            <w:tcW w:w="3320" w:type="dxa"/>
            <w:tcBorders>
              <w:top w:val="nil"/>
              <w:left w:val="nil"/>
              <w:bottom w:val="nil"/>
              <w:right w:val="nil"/>
            </w:tcBorders>
            <w:shd w:val="clear" w:color="000000" w:fill="D8E4BC"/>
            <w:hideMark/>
          </w:tcPr>
          <w:p w14:paraId="38551FE3"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•17-2199 Engineers, All Other</w:t>
            </w:r>
          </w:p>
        </w:tc>
      </w:tr>
      <w:tr w:rsidR="00F0469B" w:rsidRPr="00F0469B" w14:paraId="58EF3225" w14:textId="77777777" w:rsidTr="00F0469B">
        <w:trPr>
          <w:trHeight w:val="600"/>
        </w:trPr>
        <w:tc>
          <w:tcPr>
            <w:tcW w:w="3320" w:type="dxa"/>
            <w:tcBorders>
              <w:top w:val="nil"/>
              <w:left w:val="nil"/>
              <w:bottom w:val="nil"/>
              <w:right w:val="nil"/>
            </w:tcBorders>
            <w:shd w:val="clear" w:color="000000" w:fill="E6B8B7"/>
            <w:hideMark/>
          </w:tcPr>
          <w:p w14:paraId="225B8F90"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•21-1094 Community Health Workers</w:t>
            </w:r>
          </w:p>
        </w:tc>
        <w:tc>
          <w:tcPr>
            <w:tcW w:w="3320" w:type="dxa"/>
            <w:tcBorders>
              <w:top w:val="nil"/>
              <w:left w:val="nil"/>
              <w:bottom w:val="nil"/>
              <w:right w:val="nil"/>
            </w:tcBorders>
            <w:shd w:val="clear" w:color="000000" w:fill="FCD5B4"/>
            <w:hideMark/>
          </w:tcPr>
          <w:p w14:paraId="2D9F571D"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•47-4051 Highway Maintenance Workers</w:t>
            </w:r>
          </w:p>
        </w:tc>
        <w:tc>
          <w:tcPr>
            <w:tcW w:w="3320" w:type="dxa"/>
            <w:tcBorders>
              <w:top w:val="nil"/>
              <w:left w:val="nil"/>
              <w:bottom w:val="nil"/>
              <w:right w:val="nil"/>
            </w:tcBorders>
            <w:shd w:val="clear" w:color="000000" w:fill="D8E4BC"/>
            <w:hideMark/>
          </w:tcPr>
          <w:p w14:paraId="54DDB82B"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•27-3043 Writers and Authors</w:t>
            </w:r>
          </w:p>
        </w:tc>
      </w:tr>
      <w:tr w:rsidR="00F0469B" w:rsidRPr="00F0469B" w14:paraId="3FBC803A" w14:textId="77777777" w:rsidTr="00F0469B">
        <w:trPr>
          <w:trHeight w:val="600"/>
        </w:trPr>
        <w:tc>
          <w:tcPr>
            <w:tcW w:w="3320" w:type="dxa"/>
            <w:tcBorders>
              <w:top w:val="nil"/>
              <w:left w:val="nil"/>
              <w:bottom w:val="nil"/>
              <w:right w:val="nil"/>
            </w:tcBorders>
            <w:shd w:val="clear" w:color="000000" w:fill="E6B8B7"/>
            <w:hideMark/>
          </w:tcPr>
          <w:p w14:paraId="6B639E30"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•25-2011 Preschool Teachers, Exc. Special Education</w:t>
            </w:r>
          </w:p>
        </w:tc>
        <w:tc>
          <w:tcPr>
            <w:tcW w:w="3320" w:type="dxa"/>
            <w:tcBorders>
              <w:top w:val="nil"/>
              <w:left w:val="nil"/>
              <w:bottom w:val="nil"/>
              <w:right w:val="nil"/>
            </w:tcBorders>
            <w:shd w:val="clear" w:color="000000" w:fill="FCD5B4"/>
            <w:hideMark/>
          </w:tcPr>
          <w:p w14:paraId="67B89517"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•49-9052 Telecommunications Line Installers and Repairers</w:t>
            </w:r>
          </w:p>
        </w:tc>
        <w:tc>
          <w:tcPr>
            <w:tcW w:w="3320" w:type="dxa"/>
            <w:tcBorders>
              <w:top w:val="nil"/>
              <w:left w:val="nil"/>
              <w:bottom w:val="nil"/>
              <w:right w:val="nil"/>
            </w:tcBorders>
            <w:shd w:val="clear" w:color="000000" w:fill="D8E4BC"/>
            <w:hideMark/>
          </w:tcPr>
          <w:p w14:paraId="2F3C84B9"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•45-4022 Logging Equipment Operators</w:t>
            </w:r>
          </w:p>
        </w:tc>
      </w:tr>
      <w:tr w:rsidR="00F0469B" w:rsidRPr="00F0469B" w14:paraId="2FE7D4EB" w14:textId="77777777" w:rsidTr="00F0469B">
        <w:trPr>
          <w:trHeight w:val="600"/>
        </w:trPr>
        <w:tc>
          <w:tcPr>
            <w:tcW w:w="3320" w:type="dxa"/>
            <w:tcBorders>
              <w:top w:val="nil"/>
              <w:left w:val="nil"/>
              <w:bottom w:val="nil"/>
              <w:right w:val="nil"/>
            </w:tcBorders>
            <w:shd w:val="clear" w:color="000000" w:fill="E6B8B7"/>
            <w:hideMark/>
          </w:tcPr>
          <w:p w14:paraId="3D9014CD"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•25-3099 Teachers &amp; Instructors, All Other</w:t>
            </w:r>
          </w:p>
        </w:tc>
        <w:tc>
          <w:tcPr>
            <w:tcW w:w="3320" w:type="dxa"/>
            <w:tcBorders>
              <w:top w:val="nil"/>
              <w:left w:val="nil"/>
              <w:bottom w:val="nil"/>
              <w:right w:val="nil"/>
            </w:tcBorders>
            <w:shd w:val="clear" w:color="000000" w:fill="FCD5B4"/>
            <w:hideMark/>
          </w:tcPr>
          <w:p w14:paraId="5B7ACD3E"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•49-9092 Commercial Divers</w:t>
            </w:r>
          </w:p>
        </w:tc>
        <w:tc>
          <w:tcPr>
            <w:tcW w:w="3320" w:type="dxa"/>
            <w:tcBorders>
              <w:top w:val="nil"/>
              <w:left w:val="nil"/>
              <w:bottom w:val="nil"/>
              <w:right w:val="nil"/>
            </w:tcBorders>
            <w:shd w:val="clear" w:color="000000" w:fill="D8E4BC"/>
            <w:hideMark/>
          </w:tcPr>
          <w:p w14:paraId="1120BC63"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•47-2071 Paving, Surfacing, and Tamping Equipment Operators</w:t>
            </w:r>
          </w:p>
        </w:tc>
      </w:tr>
      <w:tr w:rsidR="00F0469B" w:rsidRPr="00F0469B" w14:paraId="53B9E31C" w14:textId="77777777" w:rsidTr="00F0469B">
        <w:trPr>
          <w:trHeight w:val="600"/>
        </w:trPr>
        <w:tc>
          <w:tcPr>
            <w:tcW w:w="3320" w:type="dxa"/>
            <w:tcBorders>
              <w:top w:val="nil"/>
              <w:left w:val="nil"/>
              <w:bottom w:val="nil"/>
              <w:right w:val="nil"/>
            </w:tcBorders>
            <w:shd w:val="clear" w:color="000000" w:fill="E6B8B7"/>
            <w:hideMark/>
          </w:tcPr>
          <w:p w14:paraId="6BE002A0"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•33-2011 Firefighters</w:t>
            </w:r>
          </w:p>
        </w:tc>
        <w:tc>
          <w:tcPr>
            <w:tcW w:w="3320" w:type="dxa"/>
            <w:tcBorders>
              <w:top w:val="nil"/>
              <w:left w:val="nil"/>
              <w:bottom w:val="nil"/>
              <w:right w:val="nil"/>
            </w:tcBorders>
            <w:shd w:val="clear" w:color="000000" w:fill="FCD5B4"/>
            <w:hideMark/>
          </w:tcPr>
          <w:p w14:paraId="0BD1AA5E"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•51-8013 Power Plant Operators</w:t>
            </w:r>
          </w:p>
        </w:tc>
        <w:tc>
          <w:tcPr>
            <w:tcW w:w="3320" w:type="dxa"/>
            <w:tcBorders>
              <w:top w:val="nil"/>
              <w:left w:val="nil"/>
              <w:bottom w:val="nil"/>
              <w:right w:val="nil"/>
            </w:tcBorders>
            <w:shd w:val="clear" w:color="000000" w:fill="D8E4BC"/>
            <w:hideMark/>
          </w:tcPr>
          <w:p w14:paraId="05817D8B"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 xml:space="preserve">•51-4121 Welders, Cutters, </w:t>
            </w:r>
            <w:proofErr w:type="spellStart"/>
            <w:r w:rsidRPr="00F0469B">
              <w:rPr>
                <w:rFonts w:ascii="Calibri" w:eastAsia="Times New Roman" w:hAnsi="Calibri" w:cs="Calibri"/>
                <w:color w:val="000000"/>
              </w:rPr>
              <w:t>Solderers</w:t>
            </w:r>
            <w:proofErr w:type="spellEnd"/>
            <w:r w:rsidRPr="00F0469B">
              <w:rPr>
                <w:rFonts w:ascii="Calibri" w:eastAsia="Times New Roman" w:hAnsi="Calibri" w:cs="Calibri"/>
                <w:color w:val="000000"/>
              </w:rPr>
              <w:t xml:space="preserve">, and </w:t>
            </w:r>
            <w:proofErr w:type="spellStart"/>
            <w:r w:rsidRPr="00F0469B">
              <w:rPr>
                <w:rFonts w:ascii="Calibri" w:eastAsia="Times New Roman" w:hAnsi="Calibri" w:cs="Calibri"/>
                <w:color w:val="000000"/>
              </w:rPr>
              <w:t>Brazers</w:t>
            </w:r>
            <w:proofErr w:type="spellEnd"/>
          </w:p>
        </w:tc>
      </w:tr>
      <w:tr w:rsidR="00F0469B" w:rsidRPr="00F0469B" w14:paraId="747A95B7" w14:textId="77777777" w:rsidTr="00F0469B">
        <w:trPr>
          <w:trHeight w:val="600"/>
        </w:trPr>
        <w:tc>
          <w:tcPr>
            <w:tcW w:w="3320" w:type="dxa"/>
            <w:tcBorders>
              <w:top w:val="nil"/>
              <w:left w:val="nil"/>
              <w:bottom w:val="nil"/>
              <w:right w:val="nil"/>
            </w:tcBorders>
            <w:shd w:val="clear" w:color="000000" w:fill="E6B8B7"/>
            <w:hideMark/>
          </w:tcPr>
          <w:p w14:paraId="1D4A8A0E"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•33-3051 Police and Sheriff's Patrol Officers</w:t>
            </w:r>
          </w:p>
        </w:tc>
        <w:tc>
          <w:tcPr>
            <w:tcW w:w="3320" w:type="dxa"/>
            <w:tcBorders>
              <w:top w:val="nil"/>
              <w:left w:val="nil"/>
              <w:bottom w:val="nil"/>
              <w:right w:val="nil"/>
            </w:tcBorders>
            <w:shd w:val="clear" w:color="000000" w:fill="FCD5B4"/>
            <w:hideMark/>
          </w:tcPr>
          <w:p w14:paraId="4F9F0F9B"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•41-9021 Real Estate Brokers</w:t>
            </w:r>
          </w:p>
        </w:tc>
        <w:tc>
          <w:tcPr>
            <w:tcW w:w="3320" w:type="dxa"/>
            <w:tcBorders>
              <w:top w:val="nil"/>
              <w:left w:val="nil"/>
              <w:bottom w:val="nil"/>
              <w:right w:val="nil"/>
            </w:tcBorders>
            <w:shd w:val="clear" w:color="000000" w:fill="D8E4BC"/>
            <w:hideMark/>
          </w:tcPr>
          <w:p w14:paraId="242682F4"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•53-7021 Crane and Tower Operators</w:t>
            </w:r>
          </w:p>
        </w:tc>
      </w:tr>
      <w:tr w:rsidR="00F0469B" w:rsidRPr="00F0469B" w14:paraId="3A02C251" w14:textId="77777777" w:rsidTr="00F0469B">
        <w:trPr>
          <w:trHeight w:val="600"/>
        </w:trPr>
        <w:tc>
          <w:tcPr>
            <w:tcW w:w="3320" w:type="dxa"/>
            <w:tcBorders>
              <w:top w:val="nil"/>
              <w:left w:val="nil"/>
              <w:bottom w:val="nil"/>
              <w:right w:val="nil"/>
            </w:tcBorders>
            <w:shd w:val="clear" w:color="000000" w:fill="E6B8B7"/>
            <w:hideMark/>
          </w:tcPr>
          <w:p w14:paraId="1DCE8DD6"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•35-3011 Bartenders</w:t>
            </w:r>
          </w:p>
        </w:tc>
        <w:tc>
          <w:tcPr>
            <w:tcW w:w="3320" w:type="dxa"/>
            <w:tcBorders>
              <w:top w:val="nil"/>
              <w:left w:val="nil"/>
              <w:bottom w:val="nil"/>
              <w:right w:val="nil"/>
            </w:tcBorders>
            <w:shd w:val="clear" w:color="000000" w:fill="FCD5B4"/>
            <w:hideMark/>
          </w:tcPr>
          <w:p w14:paraId="18240411"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•53-4041 Subway and Streetcar Operators</w:t>
            </w:r>
          </w:p>
        </w:tc>
        <w:tc>
          <w:tcPr>
            <w:tcW w:w="3320" w:type="dxa"/>
            <w:tcBorders>
              <w:top w:val="nil"/>
              <w:left w:val="nil"/>
              <w:bottom w:val="nil"/>
              <w:right w:val="nil"/>
            </w:tcBorders>
            <w:shd w:val="clear" w:color="000000" w:fill="D8E4BC"/>
            <w:hideMark/>
          </w:tcPr>
          <w:p w14:paraId="38BCB1EE" w14:textId="77777777" w:rsidR="00F0469B" w:rsidRPr="00F0469B" w:rsidRDefault="00F0469B" w:rsidP="00F0469B">
            <w:pPr>
              <w:spacing w:after="0" w:line="240" w:lineRule="auto"/>
              <w:rPr>
                <w:rFonts w:ascii="Calibri" w:eastAsia="Times New Roman" w:hAnsi="Calibri" w:cs="Calibri"/>
                <w:color w:val="000000"/>
              </w:rPr>
            </w:pPr>
            <w:r w:rsidRPr="00F0469B">
              <w:rPr>
                <w:rFonts w:ascii="Calibri" w:eastAsia="Times New Roman" w:hAnsi="Calibri" w:cs="Calibri"/>
                <w:color w:val="000000"/>
              </w:rPr>
              <w:t>•53-7032 Excavating and Loading Machine and Dragline Operators</w:t>
            </w:r>
          </w:p>
        </w:tc>
      </w:tr>
    </w:tbl>
    <w:p w14:paraId="67CD1FC5" w14:textId="0FB4E507" w:rsidR="00EE5FA5" w:rsidRPr="00BC310D" w:rsidRDefault="00EE5FA5" w:rsidP="00EE5FA5">
      <w:pPr>
        <w:spacing w:after="0" w:line="240" w:lineRule="auto"/>
        <w:rPr>
          <w:rFonts w:ascii="Calibri" w:eastAsia="Times New Roman" w:hAnsi="Calibri" w:cs="Calibri"/>
          <w:color w:val="000000"/>
          <w:sz w:val="20"/>
          <w:szCs w:val="20"/>
        </w:rPr>
      </w:pPr>
      <w:r w:rsidRPr="00EE5FA5">
        <w:rPr>
          <w:rFonts w:ascii="Calibri" w:eastAsia="Times New Roman" w:hAnsi="Calibri" w:cs="Calibri"/>
          <w:color w:val="000000"/>
          <w:sz w:val="24"/>
          <w:szCs w:val="24"/>
          <w:vertAlign w:val="superscript"/>
        </w:rPr>
        <w:t>a.</w:t>
      </w:r>
      <w:r w:rsidRPr="00EE5FA5">
        <w:rPr>
          <w:rFonts w:ascii="Calibri" w:eastAsia="Times New Roman" w:hAnsi="Calibri" w:cs="Calibri"/>
          <w:color w:val="000000"/>
          <w:sz w:val="24"/>
          <w:szCs w:val="24"/>
        </w:rPr>
        <w:t xml:space="preserve"> </w:t>
      </w:r>
      <w:r w:rsidRPr="00EE5FA5">
        <w:rPr>
          <w:rFonts w:ascii="Calibri" w:eastAsia="Times New Roman" w:hAnsi="Calibri" w:cs="Calibri"/>
          <w:color w:val="000000"/>
          <w:sz w:val="20"/>
          <w:szCs w:val="20"/>
        </w:rPr>
        <w:t xml:space="preserve">The numbers in this figure are </w:t>
      </w:r>
      <w:r w:rsidR="00F105FA" w:rsidRPr="00EE5FA5">
        <w:rPr>
          <w:rFonts w:ascii="Calibri" w:eastAsia="Times New Roman" w:hAnsi="Calibri" w:cs="Calibri"/>
          <w:color w:val="000000"/>
          <w:sz w:val="20"/>
          <w:szCs w:val="20"/>
        </w:rPr>
        <w:t>six</w:t>
      </w:r>
      <w:r w:rsidR="00F105FA">
        <w:rPr>
          <w:rFonts w:ascii="Calibri" w:eastAsia="Times New Roman" w:hAnsi="Calibri" w:cs="Calibri"/>
          <w:color w:val="000000"/>
          <w:sz w:val="20"/>
          <w:szCs w:val="20"/>
        </w:rPr>
        <w:t>-</w:t>
      </w:r>
      <w:r w:rsidRPr="00EE5FA5">
        <w:rPr>
          <w:rFonts w:ascii="Calibri" w:eastAsia="Times New Roman" w:hAnsi="Calibri" w:cs="Calibri"/>
          <w:color w:val="000000"/>
          <w:sz w:val="20"/>
          <w:szCs w:val="20"/>
        </w:rPr>
        <w:t>digit SOC codes (2010).</w:t>
      </w:r>
    </w:p>
    <w:p w14:paraId="56F82585" w14:textId="77777777" w:rsidR="00EE5FA5" w:rsidRDefault="00EE5FA5" w:rsidP="007F5CD1">
      <w:pPr>
        <w:rPr>
          <w:rFonts w:cstheme="minorHAnsi"/>
        </w:rPr>
      </w:pPr>
    </w:p>
    <w:p w14:paraId="13BCD552" w14:textId="7B80094B" w:rsidR="00C714BB" w:rsidRDefault="00D30982" w:rsidP="007F5CD1">
      <w:pPr>
        <w:rPr>
          <w:rFonts w:cstheme="minorHAnsi"/>
        </w:rPr>
      </w:pPr>
      <w:r w:rsidRPr="00A9238F">
        <w:rPr>
          <w:rFonts w:cstheme="minorHAnsi"/>
        </w:rPr>
        <w:t xml:space="preserve">This </w:t>
      </w:r>
      <w:r w:rsidR="00540ED5" w:rsidRPr="00A9238F">
        <w:rPr>
          <w:rFonts w:cstheme="minorHAnsi"/>
        </w:rPr>
        <w:t>approach to sorting into high</w:t>
      </w:r>
      <w:r w:rsidR="0021120E">
        <w:rPr>
          <w:rFonts w:cstheme="minorHAnsi"/>
        </w:rPr>
        <w:t>,</w:t>
      </w:r>
      <w:r w:rsidR="00540ED5" w:rsidRPr="00A9238F">
        <w:rPr>
          <w:rFonts w:cstheme="minorHAnsi"/>
        </w:rPr>
        <w:t xml:space="preserve"> medium</w:t>
      </w:r>
      <w:r w:rsidR="0021120E">
        <w:rPr>
          <w:rFonts w:cstheme="minorHAnsi"/>
        </w:rPr>
        <w:t>,</w:t>
      </w:r>
      <w:r w:rsidR="00540ED5" w:rsidRPr="00A9238F">
        <w:rPr>
          <w:rFonts w:cstheme="minorHAnsi"/>
        </w:rPr>
        <w:t xml:space="preserve"> and lo</w:t>
      </w:r>
      <w:r w:rsidR="00181541" w:rsidRPr="00A9238F">
        <w:rPr>
          <w:rFonts w:cstheme="minorHAnsi"/>
        </w:rPr>
        <w:t>w</w:t>
      </w:r>
      <w:r w:rsidR="00540ED5" w:rsidRPr="00A9238F">
        <w:rPr>
          <w:rFonts w:cstheme="minorHAnsi"/>
        </w:rPr>
        <w:t xml:space="preserve"> </w:t>
      </w:r>
      <w:r w:rsidR="00181541" w:rsidRPr="00A9238F">
        <w:rPr>
          <w:rFonts w:cstheme="minorHAnsi"/>
        </w:rPr>
        <w:t xml:space="preserve">risk </w:t>
      </w:r>
      <w:r w:rsidR="00E302EB" w:rsidRPr="00A9238F">
        <w:rPr>
          <w:rFonts w:cstheme="minorHAnsi"/>
          <w:i/>
        </w:rPr>
        <w:t>E</w:t>
      </w:r>
      <w:r w:rsidR="00540ED5" w:rsidRPr="00A9238F">
        <w:rPr>
          <w:rFonts w:cstheme="minorHAnsi"/>
          <w:i/>
        </w:rPr>
        <w:t xml:space="preserve">xposure </w:t>
      </w:r>
      <w:r w:rsidR="00E302EB" w:rsidRPr="00A9238F">
        <w:rPr>
          <w:rFonts w:cstheme="minorHAnsi"/>
          <w:i/>
        </w:rPr>
        <w:t>G</w:t>
      </w:r>
      <w:r w:rsidR="00540ED5" w:rsidRPr="00A9238F">
        <w:rPr>
          <w:rFonts w:cstheme="minorHAnsi"/>
          <w:i/>
        </w:rPr>
        <w:t>roup</w:t>
      </w:r>
      <w:r w:rsidR="00181541" w:rsidRPr="00A9238F">
        <w:rPr>
          <w:rFonts w:cstheme="minorHAnsi"/>
          <w:i/>
        </w:rPr>
        <w:t>s</w:t>
      </w:r>
      <w:r w:rsidRPr="00A9238F">
        <w:rPr>
          <w:rFonts w:cstheme="minorHAnsi"/>
        </w:rPr>
        <w:t xml:space="preserve"> is only one of many </w:t>
      </w:r>
      <w:r w:rsidR="00540ED5" w:rsidRPr="00A9238F">
        <w:rPr>
          <w:rFonts w:cstheme="minorHAnsi"/>
        </w:rPr>
        <w:t>possible approaches</w:t>
      </w:r>
      <w:r w:rsidR="00D55F91" w:rsidRPr="00A9238F">
        <w:rPr>
          <w:rFonts w:cstheme="minorHAnsi"/>
        </w:rPr>
        <w:t>. On</w:t>
      </w:r>
      <w:r w:rsidR="00A9238F" w:rsidRPr="00A9238F">
        <w:rPr>
          <w:rFonts w:cstheme="minorHAnsi"/>
        </w:rPr>
        <w:t>e</w:t>
      </w:r>
      <w:r w:rsidR="00D55F91" w:rsidRPr="00A9238F">
        <w:rPr>
          <w:rFonts w:cstheme="minorHAnsi"/>
        </w:rPr>
        <w:t xml:space="preserve"> might, for example, consider any occupation that involves work in close proximity</w:t>
      </w:r>
      <w:r w:rsidR="00502D07" w:rsidRPr="00A9238F">
        <w:rPr>
          <w:rFonts w:cstheme="minorHAnsi"/>
        </w:rPr>
        <w:t xml:space="preserve"> as higher risk,</w:t>
      </w:r>
      <w:r w:rsidR="00D55F91" w:rsidRPr="00A9238F">
        <w:rPr>
          <w:rFonts w:cstheme="minorHAnsi"/>
        </w:rPr>
        <w:t xml:space="preserve"> regardless of whether it involves work primarily outdoors</w:t>
      </w:r>
      <w:r w:rsidR="00502D07" w:rsidRPr="00A9238F">
        <w:rPr>
          <w:rFonts w:cstheme="minorHAnsi"/>
        </w:rPr>
        <w:t xml:space="preserve"> or interacting with the public</w:t>
      </w:r>
      <w:r w:rsidR="000A579C" w:rsidRPr="00A9238F">
        <w:rPr>
          <w:rFonts w:cstheme="minorHAnsi"/>
        </w:rPr>
        <w:t>.</w:t>
      </w:r>
      <w:r w:rsidR="00D55F91" w:rsidRPr="00A9238F">
        <w:rPr>
          <w:rFonts w:cstheme="minorHAnsi"/>
        </w:rPr>
        <w:t xml:space="preserve"> </w:t>
      </w:r>
      <w:r w:rsidR="002F7BD3" w:rsidRPr="00A9238F">
        <w:rPr>
          <w:rFonts w:cstheme="minorHAnsi"/>
        </w:rPr>
        <w:t xml:space="preserve"> </w:t>
      </w:r>
      <w:r w:rsidR="007359B5" w:rsidRPr="00A9238F">
        <w:rPr>
          <w:rFonts w:cstheme="minorHAnsi"/>
        </w:rPr>
        <w:t xml:space="preserve">Doing so would </w:t>
      </w:r>
      <w:r w:rsidR="009D4464" w:rsidRPr="00A9238F">
        <w:rPr>
          <w:rFonts w:cstheme="minorHAnsi"/>
        </w:rPr>
        <w:t>add 102 occupations and another 11% of the workforce to this group</w:t>
      </w:r>
      <w:r w:rsidR="007359B5" w:rsidRPr="00A9238F">
        <w:rPr>
          <w:rFonts w:cstheme="minorHAnsi"/>
        </w:rPr>
        <w:t xml:space="preserve"> (</w:t>
      </w:r>
      <w:r w:rsidR="007359B5" w:rsidRPr="00A9238F">
        <w:rPr>
          <w:rFonts w:cstheme="minorHAnsi"/>
          <w:i/>
        </w:rPr>
        <w:t>Proximity Measure</w:t>
      </w:r>
      <w:r w:rsidR="007359B5" w:rsidRPr="00A9238F">
        <w:rPr>
          <w:rFonts w:cstheme="minorHAnsi"/>
        </w:rPr>
        <w:t xml:space="preserve"> 2)</w:t>
      </w:r>
      <w:r w:rsidR="009D4464" w:rsidRPr="00A9238F">
        <w:rPr>
          <w:rFonts w:cstheme="minorHAnsi"/>
        </w:rPr>
        <w:t xml:space="preserve">.  </w:t>
      </w:r>
      <w:r w:rsidR="00290CF5" w:rsidRPr="00A9238F">
        <w:rPr>
          <w:rFonts w:cstheme="minorHAnsi"/>
        </w:rPr>
        <w:t xml:space="preserve">The </w:t>
      </w:r>
      <w:r w:rsidR="00E83A35" w:rsidRPr="00A9238F">
        <w:rPr>
          <w:rFonts w:cstheme="minorHAnsi"/>
        </w:rPr>
        <w:t xml:space="preserve">SOEM </w:t>
      </w:r>
      <w:r w:rsidR="000D2B70" w:rsidRPr="00A9238F">
        <w:rPr>
          <w:rFonts w:cstheme="minorHAnsi"/>
        </w:rPr>
        <w:t xml:space="preserve">contains a spreadsheet with the </w:t>
      </w:r>
      <w:r w:rsidR="00290CF5" w:rsidRPr="00A9238F">
        <w:rPr>
          <w:rFonts w:cstheme="minorHAnsi"/>
        </w:rPr>
        <w:t xml:space="preserve">relevant data elements so that </w:t>
      </w:r>
      <w:r w:rsidR="00712C43" w:rsidRPr="00A9238F">
        <w:rPr>
          <w:rFonts w:cstheme="minorHAnsi"/>
        </w:rPr>
        <w:t xml:space="preserve">users </w:t>
      </w:r>
      <w:r w:rsidR="00290CF5" w:rsidRPr="00A9238F">
        <w:rPr>
          <w:rFonts w:cstheme="minorHAnsi"/>
        </w:rPr>
        <w:t xml:space="preserve">may </w:t>
      </w:r>
      <w:r w:rsidR="00712C43" w:rsidRPr="00A9238F">
        <w:rPr>
          <w:rFonts w:cstheme="minorHAnsi"/>
        </w:rPr>
        <w:t xml:space="preserve">develop </w:t>
      </w:r>
      <w:r w:rsidR="00290CF5" w:rsidRPr="00A9238F">
        <w:rPr>
          <w:rFonts w:cstheme="minorHAnsi"/>
        </w:rPr>
        <w:t xml:space="preserve">alternative </w:t>
      </w:r>
      <w:r w:rsidR="00ED7EB8" w:rsidRPr="00A9238F">
        <w:rPr>
          <w:rFonts w:cstheme="minorHAnsi"/>
        </w:rPr>
        <w:t xml:space="preserve">rankings </w:t>
      </w:r>
      <w:r w:rsidR="00290CF5" w:rsidRPr="00A9238F">
        <w:rPr>
          <w:rFonts w:cstheme="minorHAnsi"/>
        </w:rPr>
        <w:t xml:space="preserve">applying different assumptions </w:t>
      </w:r>
      <w:r w:rsidR="000A579C" w:rsidRPr="00A9238F">
        <w:rPr>
          <w:rFonts w:cstheme="minorHAnsi"/>
        </w:rPr>
        <w:t xml:space="preserve">or new knowledge </w:t>
      </w:r>
      <w:r w:rsidR="00290CF5" w:rsidRPr="00A9238F">
        <w:rPr>
          <w:rFonts w:cstheme="minorHAnsi"/>
        </w:rPr>
        <w:t xml:space="preserve">about the relative </w:t>
      </w:r>
      <w:r w:rsidR="000A579C" w:rsidRPr="00A9238F">
        <w:rPr>
          <w:rFonts w:cstheme="minorHAnsi"/>
        </w:rPr>
        <w:t>incorporated into the SOEM as well.</w:t>
      </w:r>
    </w:p>
    <w:p w14:paraId="6B13E2B1" w14:textId="29C2E482" w:rsidR="007638F6" w:rsidRDefault="00C714BB" w:rsidP="007F5CD1">
      <w:pPr>
        <w:rPr>
          <w:rFonts w:cstheme="minorHAnsi"/>
        </w:rPr>
      </w:pPr>
      <w:r w:rsidRPr="00A2143C">
        <w:rPr>
          <w:rFonts w:cstheme="minorHAnsi"/>
        </w:rPr>
        <w:t>It should be noted that the tables presenting the distribution</w:t>
      </w:r>
      <w:r w:rsidR="00575939" w:rsidRPr="00A2143C">
        <w:rPr>
          <w:rFonts w:cstheme="minorHAnsi"/>
        </w:rPr>
        <w:t xml:space="preserve">s </w:t>
      </w:r>
      <w:r w:rsidRPr="00A2143C">
        <w:rPr>
          <w:rFonts w:cstheme="minorHAnsi"/>
        </w:rPr>
        <w:t xml:space="preserve">of occupations and the non-HC workforce in this document exclude 45 non-HC occupations for which O*NET does not collect data.  Less than 3% of the US non-HC workforce were employed in these occupations in 2019 (OES, 2019).  Anticipating that some COVID-19 cases may be coded to these missing occupations, we developed an approach to assigning levels of exposure and </w:t>
      </w:r>
      <w:r w:rsidR="00575939" w:rsidRPr="00A2143C">
        <w:rPr>
          <w:rFonts w:cstheme="minorHAnsi"/>
        </w:rPr>
        <w:t xml:space="preserve">a </w:t>
      </w:r>
      <w:r w:rsidRPr="00A2143C">
        <w:rPr>
          <w:rFonts w:cstheme="minorHAnsi"/>
          <w:i/>
        </w:rPr>
        <w:t>Combined Exposure Category</w:t>
      </w:r>
      <w:r w:rsidRPr="00A2143C">
        <w:rPr>
          <w:rFonts w:cstheme="minorHAnsi"/>
        </w:rPr>
        <w:t xml:space="preserve"> to </w:t>
      </w:r>
      <w:r w:rsidR="00575939" w:rsidRPr="00A2143C">
        <w:rPr>
          <w:rFonts w:cstheme="minorHAnsi"/>
        </w:rPr>
        <w:t xml:space="preserve">each </w:t>
      </w:r>
      <w:r w:rsidRPr="00A2143C">
        <w:rPr>
          <w:rFonts w:cstheme="minorHAnsi"/>
        </w:rPr>
        <w:t xml:space="preserve">these 45 missing </w:t>
      </w:r>
      <w:r w:rsidR="00ED321A" w:rsidRPr="00A2143C">
        <w:rPr>
          <w:rFonts w:cstheme="minorHAnsi"/>
        </w:rPr>
        <w:t xml:space="preserve">non-health care </w:t>
      </w:r>
      <w:r w:rsidRPr="00A2143C">
        <w:rPr>
          <w:rFonts w:cstheme="minorHAnsi"/>
        </w:rPr>
        <w:t xml:space="preserve">SOC (and 19 missing COC) using information from related occupations. </w:t>
      </w:r>
      <w:r w:rsidR="00575939" w:rsidRPr="00A2143C">
        <w:rPr>
          <w:rFonts w:cstheme="minorHAnsi"/>
        </w:rPr>
        <w:t xml:space="preserve">(See Appendix 3, Part </w:t>
      </w:r>
      <w:r w:rsidR="00AA6D10" w:rsidRPr="00A2143C">
        <w:rPr>
          <w:rFonts w:cstheme="minorHAnsi"/>
        </w:rPr>
        <w:t>3</w:t>
      </w:r>
      <w:r w:rsidR="00575939" w:rsidRPr="00A2143C">
        <w:rPr>
          <w:rFonts w:cstheme="minorHAnsi"/>
        </w:rPr>
        <w:t xml:space="preserve">.) This exposure information is included in a separate Table 5 - </w:t>
      </w:r>
      <w:r w:rsidR="00575939" w:rsidRPr="00A2143C">
        <w:rPr>
          <w:rFonts w:cstheme="minorHAnsi"/>
          <w:i/>
        </w:rPr>
        <w:t>Missing SOC and COC</w:t>
      </w:r>
      <w:r w:rsidR="00575939" w:rsidRPr="00A2143C">
        <w:rPr>
          <w:rFonts w:cstheme="minorHAnsi"/>
        </w:rPr>
        <w:t xml:space="preserve"> – in the SOEM.</w:t>
      </w:r>
    </w:p>
    <w:p w14:paraId="7F1417FD" w14:textId="77777777" w:rsidR="00DE0A76" w:rsidRPr="00A2143C" w:rsidRDefault="00DE0A76" w:rsidP="007F5CD1">
      <w:pPr>
        <w:rPr>
          <w:rFonts w:cstheme="minorHAnsi"/>
        </w:rPr>
      </w:pPr>
    </w:p>
    <w:p w14:paraId="6E61B2FF" w14:textId="3F79FADE" w:rsidR="00535800" w:rsidRPr="00EE5FA5" w:rsidRDefault="00106961" w:rsidP="00EE5FA5">
      <w:pPr>
        <w:pStyle w:val="Heading2"/>
      </w:pPr>
      <w:r w:rsidRPr="00A93DFA">
        <w:t xml:space="preserve">Section </w:t>
      </w:r>
      <w:r w:rsidR="008C23FC" w:rsidRPr="00A93DFA">
        <w:t>3</w:t>
      </w:r>
      <w:r w:rsidRPr="00A93DFA">
        <w:t xml:space="preserve">. </w:t>
      </w:r>
      <w:r w:rsidR="00736647" w:rsidRPr="00A93DFA">
        <w:t>Health equity</w:t>
      </w:r>
    </w:p>
    <w:p w14:paraId="234BA459" w14:textId="34C51416" w:rsidR="00640E96" w:rsidRPr="004326CA" w:rsidRDefault="00535800" w:rsidP="00640E96">
      <w:r w:rsidRPr="004326CA">
        <w:rPr>
          <w:rFonts w:cstheme="majorHAnsi"/>
          <w:color w:val="000000" w:themeColor="text1"/>
        </w:rPr>
        <w:t xml:space="preserve">People of color have been disproportionately affected by the COVID-19 pandemic, bringing health inequities </w:t>
      </w:r>
      <w:r w:rsidR="00A22E3F" w:rsidRPr="004326CA">
        <w:rPr>
          <w:rFonts w:cstheme="majorHAnsi"/>
          <w:color w:val="000000" w:themeColor="text1"/>
        </w:rPr>
        <w:t xml:space="preserve">in the US </w:t>
      </w:r>
      <w:r w:rsidRPr="004326CA">
        <w:rPr>
          <w:rFonts w:cstheme="majorHAnsi"/>
          <w:color w:val="000000" w:themeColor="text1"/>
        </w:rPr>
        <w:t>into stark relief</w:t>
      </w:r>
      <w:r w:rsidR="00163B1B">
        <w:rPr>
          <w:rFonts w:cstheme="majorHAnsi"/>
          <w:color w:val="000000" w:themeColor="text1"/>
        </w:rPr>
        <w:t xml:space="preserve">. </w:t>
      </w:r>
      <w:r w:rsidR="00163B1B">
        <w:rPr>
          <w:rFonts w:cstheme="majorHAnsi"/>
          <w:color w:val="000000" w:themeColor="text1"/>
        </w:rPr>
        <w:fldChar w:fldCharType="begin">
          <w:fldData xml:space="preserve">PEVuZE5vdGU+PENpdGU+PEF1dGhvcj5DZW50ZXIgZm9yIERpc2Vhc2UgQ29udHJvbCBhbmQgUHJl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</w:fldData>
        </w:fldChar>
      </w:r>
      <w:r w:rsidR="00163B1B">
        <w:rPr>
          <w:rFonts w:cstheme="majorHAnsi"/>
          <w:color w:val="000000" w:themeColor="text1"/>
        </w:rPr>
        <w:instrText xml:space="preserve"> ADDIN EN.CITE </w:instrText>
      </w:r>
      <w:r w:rsidR="00163B1B">
        <w:rPr>
          <w:rFonts w:cstheme="majorHAnsi"/>
          <w:color w:val="000000" w:themeColor="text1"/>
        </w:rPr>
        <w:fldChar w:fldCharType="begin">
          <w:fldData xml:space="preserve">PEVuZE5vdGU+PENpdGU+PEF1dGhvcj5DZW50ZXIgZm9yIERpc2Vhc2UgQ29udHJvbCBhbmQgUHJl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</w:fldData>
        </w:fldChar>
      </w:r>
      <w:r w:rsidR="00163B1B">
        <w:rPr>
          <w:rFonts w:cstheme="majorHAnsi"/>
          <w:color w:val="000000" w:themeColor="text1"/>
        </w:rPr>
        <w:instrText xml:space="preserve"> ADDIN EN.CITE.DATA </w:instrText>
      </w:r>
      <w:r w:rsidR="00163B1B">
        <w:rPr>
          <w:rFonts w:cstheme="majorHAnsi"/>
          <w:color w:val="000000" w:themeColor="text1"/>
        </w:rPr>
      </w:r>
      <w:r w:rsidR="00163B1B">
        <w:rPr>
          <w:rFonts w:cstheme="majorHAnsi"/>
          <w:color w:val="000000" w:themeColor="text1"/>
        </w:rPr>
        <w:fldChar w:fldCharType="end"/>
      </w:r>
      <w:r w:rsidR="00163B1B">
        <w:rPr>
          <w:rFonts w:cstheme="majorHAnsi"/>
          <w:color w:val="000000" w:themeColor="text1"/>
        </w:rPr>
      </w:r>
      <w:r w:rsidR="00163B1B">
        <w:rPr>
          <w:rFonts w:cstheme="majorHAnsi"/>
          <w:color w:val="000000" w:themeColor="text1"/>
        </w:rPr>
        <w:fldChar w:fldCharType="separate"/>
      </w:r>
      <w:r w:rsidR="00163B1B">
        <w:rPr>
          <w:rFonts w:cstheme="majorHAnsi"/>
          <w:noProof/>
          <w:color w:val="000000" w:themeColor="text1"/>
        </w:rPr>
        <w:t>[17-19]</w:t>
      </w:r>
      <w:r w:rsidR="00163B1B">
        <w:rPr>
          <w:rFonts w:cstheme="majorHAnsi"/>
          <w:color w:val="000000" w:themeColor="text1"/>
        </w:rPr>
        <w:fldChar w:fldCharType="end"/>
      </w:r>
      <w:r w:rsidR="008C23FC" w:rsidRPr="004326CA">
        <w:rPr>
          <w:rFonts w:cstheme="majorHAnsi"/>
          <w:color w:val="000000" w:themeColor="text1"/>
        </w:rPr>
        <w:t xml:space="preserve"> </w:t>
      </w:r>
      <w:r w:rsidR="006C54C1" w:rsidRPr="004326CA">
        <w:rPr>
          <w:rFonts w:cstheme="majorHAnsi"/>
          <w:color w:val="000000" w:themeColor="text1"/>
        </w:rPr>
        <w:t>Employment is a</w:t>
      </w:r>
      <w:r w:rsidR="00FA5022" w:rsidRPr="004326CA">
        <w:rPr>
          <w:rFonts w:cstheme="majorHAnsi"/>
          <w:color w:val="000000" w:themeColor="text1"/>
        </w:rPr>
        <w:t xml:space="preserve">n important </w:t>
      </w:r>
      <w:r w:rsidR="006C54C1" w:rsidRPr="004326CA">
        <w:rPr>
          <w:rFonts w:cstheme="majorHAnsi"/>
          <w:color w:val="000000" w:themeColor="text1"/>
        </w:rPr>
        <w:t>contributing factor.</w:t>
      </w:r>
      <w:r w:rsidR="00A918AA">
        <w:rPr>
          <w:rFonts w:cstheme="majorHAnsi"/>
          <w:color w:val="000000" w:themeColor="text1"/>
        </w:rPr>
        <w:t xml:space="preserve"> </w:t>
      </w:r>
      <w:r w:rsidRPr="004326CA">
        <w:t xml:space="preserve">Longstanding social and health inequities have resulted in overrepresentation of Hispanic and nonwhite workers in many of the </w:t>
      </w:r>
      <w:r w:rsidR="00FD3A6F" w:rsidRPr="004326CA">
        <w:t>high</w:t>
      </w:r>
      <w:r w:rsidR="00FD3A6F">
        <w:t>-</w:t>
      </w:r>
      <w:r w:rsidRPr="004326CA">
        <w:t xml:space="preserve">risk </w:t>
      </w:r>
      <w:r w:rsidR="00A22E3F" w:rsidRPr="004326CA">
        <w:t>occupations</w:t>
      </w:r>
      <w:r w:rsidRPr="004326CA">
        <w:t xml:space="preserve"> needed to sustain critical infrastructure</w:t>
      </w:r>
      <w:r w:rsidR="00A22E3F" w:rsidRPr="004326CA">
        <w:t>.</w:t>
      </w:r>
      <w:r w:rsidR="00163B1B">
        <w:t xml:space="preserve"> </w:t>
      </w:r>
      <w:r w:rsidR="004427D1">
        <w:fldChar w:fldCharType="begin">
          <w:fldData xml:space="preserve">PEVuZE5vdGU+PENpdGU+PEF1dGhvcj5EdWJheTwvQXV0aG9yPjxZZWFyPjIwMjA8L1llYXI+PFJl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</w:fldData>
        </w:fldChar>
      </w:r>
      <w:r w:rsidR="004427D1">
        <w:instrText xml:space="preserve"> ADDIN EN.CITE </w:instrText>
      </w:r>
      <w:r w:rsidR="004427D1">
        <w:fldChar w:fldCharType="begin">
          <w:fldData xml:space="preserve">PEVuZE5vdGU+PENpdGU+PEF1dGhvcj5EdWJheTwvQXV0aG9yPjxZZWFyPjIwMjA8L1llYXI+PFJl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</w:fldData>
        </w:fldChar>
      </w:r>
      <w:r w:rsidR="004427D1">
        <w:instrText xml:space="preserve"> ADDIN EN.CITE.DATA </w:instrText>
      </w:r>
      <w:r w:rsidR="004427D1">
        <w:fldChar w:fldCharType="end"/>
      </w:r>
      <w:r w:rsidR="004427D1">
        <w:fldChar w:fldCharType="separate"/>
      </w:r>
      <w:r w:rsidR="004427D1">
        <w:rPr>
          <w:noProof/>
        </w:rPr>
        <w:t>[4, 20, 21]</w:t>
      </w:r>
      <w:r w:rsidR="004427D1">
        <w:fldChar w:fldCharType="end"/>
      </w:r>
      <w:r w:rsidR="004427D1">
        <w:t xml:space="preserve"> </w:t>
      </w:r>
      <w:r w:rsidR="00163B1B">
        <w:t>T</w:t>
      </w:r>
      <w:r w:rsidRPr="004326CA">
        <w:t>hese jobs are often precarious, low-paying, and lacking in social benefits</w:t>
      </w:r>
      <w:r w:rsidR="00D63ED6" w:rsidRPr="004326CA">
        <w:t>.</w:t>
      </w:r>
      <w:r w:rsidR="006404B8">
        <w:fldChar w:fldCharType="begin"/>
      </w:r>
      <w:r w:rsidR="004427D1">
        <w:instrText xml:space="preserve"> ADDIN EN.CITE &lt;EndNote&gt;&lt;Cite&gt;&lt;Author&gt;Dasgupta&lt;/Author&gt;&lt;Year&gt;2020&lt;/Year&gt;&lt;RecNum&gt;21&lt;/RecNum&gt;&lt;DisplayText&gt;[22]&lt;/DisplayText&gt;&lt;record&gt;&lt;rec-number&gt;21&lt;/rec-number&gt;&lt;foreign-keys&gt;&lt;key app="EN" db-id="fev0zvzp3deftke0v2250x5xfrd59szftaet" timestamp="1613250872"&gt;21&lt;/key&gt;&lt;/foreign-keys&gt;&lt;ref-type name="Journal Article"&gt;17&lt;/ref-type&gt;&lt;contributors&gt;&lt;authors&gt;&lt;author&gt;Dasgupta, Sharoda&lt;/author&gt;&lt;author&gt;Bowen, Virginia B&lt;/author&gt;&lt;author&gt;Leidner, Andrew&lt;/author&gt;&lt;author&gt;Fletcher, Kelly&lt;/author&gt;&lt;author&gt;Musial, Trieste&lt;/author&gt;&lt;author&gt;Rose, Charles&lt;/author&gt;&lt;author&gt;Cha, Amy&lt;/author&gt;&lt;author&gt;Kang, Gloria&lt;/author&gt;&lt;author&gt;Dirlikov, Emilio&lt;/author&gt;&lt;author&gt;Pevzner, Eric&lt;/author&gt;&lt;/authors&gt;&lt;/contributors&gt;&lt;titles&gt;&lt;title&gt;Association Between Social Vulnerability and a County’s Risk for Becoming a COVID-19 Hotspot—United States, June 1–July 25, 2020&lt;/title&gt;&lt;secondary-title&gt;Morbidity and Mortality Weekly Report&lt;/secondary-title&gt;&lt;/titles&gt;&lt;periodical&gt;&lt;full-title&gt;Morbidity and Mortality Weekly Report&lt;/full-title&gt;&lt;/periodical&gt;&lt;pages&gt;1535&lt;/pages&gt;&lt;volume&gt;69&lt;/volume&gt;&lt;number&gt;42&lt;/number&gt;&lt;dates&gt;&lt;year&gt;2020&lt;/year&gt;&lt;/dates&gt;&lt;urls&gt;&lt;/urls&gt;&lt;/record&gt;&lt;/Cite&gt;&lt;/EndNote&gt;</w:instrText>
      </w:r>
      <w:r w:rsidR="006404B8">
        <w:fldChar w:fldCharType="separate"/>
      </w:r>
      <w:r w:rsidR="004427D1">
        <w:rPr>
          <w:noProof/>
        </w:rPr>
        <w:t>[22]</w:t>
      </w:r>
      <w:r w:rsidR="006404B8">
        <w:fldChar w:fldCharType="end"/>
      </w:r>
      <w:r w:rsidR="003E01F0" w:rsidRPr="004326CA">
        <w:t xml:space="preserve"> </w:t>
      </w:r>
      <w:r w:rsidRPr="004326CA">
        <w:t>Fear of job loss, economic need, and lack of paid sick leave are disincentives for staying home when workers fall ill</w:t>
      </w:r>
      <w:r w:rsidR="00C24BB0" w:rsidRPr="004326CA">
        <w:t xml:space="preserve"> or are exposed to SARS-CoV-2</w:t>
      </w:r>
      <w:r w:rsidRPr="004326CA">
        <w:t>. Lack of health insurance may prevent infected workers from seeking health</w:t>
      </w:r>
      <w:r w:rsidR="00E60F8C" w:rsidRPr="004326CA">
        <w:t xml:space="preserve"> </w:t>
      </w:r>
      <w:r w:rsidRPr="004326CA">
        <w:t>care, delaying treatment</w:t>
      </w:r>
      <w:r w:rsidR="0021120E">
        <w:t>,</w:t>
      </w:r>
      <w:r w:rsidRPr="004326CA">
        <w:t xml:space="preserve"> and leading to more severe disease. </w:t>
      </w:r>
      <w:r w:rsidR="004427D1">
        <w:fldChar w:fldCharType="begin"/>
      </w:r>
      <w:r w:rsidR="004427D1">
        <w:instrText xml:space="preserve"> ADDIN EN.CITE &lt;EndNote&gt;&lt;Cite&gt;&lt;Author&gt;Middleton&lt;/Author&gt;&lt;Year&gt;2020&lt;/Year&gt;&lt;RecNum&gt;30&lt;/RecNum&gt;&lt;DisplayText&gt;[23]&lt;/DisplayText&gt;&lt;record&gt;&lt;rec-number&gt;30&lt;/rec-number&gt;&lt;foreign-keys&gt;&lt;key app="EN" db-id="fev0zvzp3deftke0v2250x5xfrd59szftaet" timestamp="1616628093"&gt;30&lt;/key&gt;&lt;/foreign-keys&gt;&lt;ref-type name="Generic"&gt;13&lt;/ref-type&gt;&lt;contributors&gt;&lt;authors&gt;&lt;author&gt;Middleton, John&lt;/author&gt;&lt;author&gt;Reintjes, Ralf&lt;/author&gt;&lt;author&gt;Lopes, Henrique&lt;/author&gt;&lt;/authors&gt;&lt;/contributors&gt;&lt;titles&gt;&lt;title&gt;Meat plants—a new front line in the covid-19 pandemic&lt;/title&gt;&lt;/titles&gt;&lt;dates&gt;&lt;year&gt;2020&lt;/year&gt;&lt;/dates&gt;&lt;publisher&gt;British Medical Journal Publishing Group&lt;/publisher&gt;&lt;isbn&gt;1756-1833&lt;/isbn&gt;&lt;urls&gt;&lt;/urls&gt;&lt;/record&gt;&lt;/Cite&gt;&lt;/EndNote&gt;</w:instrText>
      </w:r>
      <w:r w:rsidR="004427D1">
        <w:fldChar w:fldCharType="separate"/>
      </w:r>
      <w:r w:rsidR="004427D1">
        <w:rPr>
          <w:noProof/>
        </w:rPr>
        <w:t>[23]</w:t>
      </w:r>
      <w:r w:rsidR="004427D1">
        <w:fldChar w:fldCharType="end"/>
      </w:r>
      <w:r w:rsidR="00CE54E3">
        <w:t xml:space="preserve">  </w:t>
      </w:r>
      <w:r w:rsidRPr="004326CA">
        <w:t>Language barriers, poor working conditions, and concerns about immigration status may also lead to disparities in morbidity and mortality</w:t>
      </w:r>
      <w:r w:rsidR="00FA5022" w:rsidRPr="004326CA">
        <w:t>.</w:t>
      </w:r>
      <w:r w:rsidR="006404B8">
        <w:t xml:space="preserve"> </w:t>
      </w:r>
      <w:r w:rsidR="006404B8">
        <w:fldChar w:fldCharType="begin"/>
      </w:r>
      <w:r w:rsidR="004427D1">
        <w:instrText xml:space="preserve"> ADDIN EN.CITE &lt;EndNote&gt;&lt;Cite&gt;&lt;Author&gt;Fielding-Miller&lt;/Author&gt;&lt;Year&gt;2020&lt;/Year&gt;&lt;RecNum&gt;22&lt;/RecNum&gt;&lt;DisplayText&gt;[24]&lt;/DisplayText&gt;&lt;record&gt;&lt;rec-number&gt;22&lt;/rec-number&gt;&lt;foreign-keys&gt;&lt;key app="EN" db-id="fev0zvzp3deftke0v2250x5xfrd59szftaet" timestamp="1613251120"&gt;22&lt;/key&gt;&lt;/foreign-keys&gt;&lt;ref-type name="Journal Article"&gt;17&lt;/ref-type&gt;&lt;contributors&gt;&lt;authors&gt;&lt;author&gt;Fielding-Miller, Rebecca K&lt;/author&gt;&lt;author&gt;Sundaram, Maria E&lt;/author&gt;&lt;author&gt;Brouwer, Kimberly&lt;/author&gt;&lt;/authors&gt;&lt;/contributors&gt;&lt;titles&gt;&lt;title&gt;Social determinants of COVID-19 mortality at the county level&lt;/title&gt;&lt;secondary-title&gt;PloS one&lt;/secondary-title&gt;&lt;/titles&gt;&lt;periodical&gt;&lt;full-title&gt;PloS one&lt;/full-title&gt;&lt;/periodical&gt;&lt;pages&gt;e0240151&lt;/pages&gt;&lt;volume&gt;15&lt;/volume&gt;&lt;number&gt;10&lt;/number&gt;&lt;dates&gt;&lt;year&gt;2020&lt;/year&gt;&lt;/dates&gt;&lt;isbn&gt;1932-6203&lt;/isbn&gt;&lt;urls&gt;&lt;/urls&gt;&lt;/record&gt;&lt;/Cite&gt;&lt;/EndNote&gt;</w:instrText>
      </w:r>
      <w:r w:rsidR="006404B8">
        <w:fldChar w:fldCharType="separate"/>
      </w:r>
      <w:r w:rsidR="004427D1">
        <w:rPr>
          <w:noProof/>
        </w:rPr>
        <w:t>[24]</w:t>
      </w:r>
      <w:r w:rsidR="006404B8">
        <w:fldChar w:fldCharType="end"/>
      </w:r>
    </w:p>
    <w:p w14:paraId="7CD860C2" w14:textId="3FBCA549" w:rsidR="00FC2125" w:rsidRPr="00EE5FA5" w:rsidRDefault="00870988" w:rsidP="007F5CD1">
      <w:r w:rsidRPr="004326CA">
        <w:rPr>
          <w:rFonts w:cstheme="minorHAnsi"/>
        </w:rPr>
        <w:t xml:space="preserve">It </w:t>
      </w:r>
      <w:r w:rsidR="00535800" w:rsidRPr="004326CA">
        <w:rPr>
          <w:rFonts w:cstheme="minorHAnsi"/>
        </w:rPr>
        <w:t xml:space="preserve">is critical to consider ways to assure equitable and effective application of interventions across all populations. </w:t>
      </w:r>
      <w:r w:rsidR="00591D05" w:rsidRPr="004326CA">
        <w:rPr>
          <w:rFonts w:cstheme="minorHAnsi"/>
        </w:rPr>
        <w:t xml:space="preserve">Plans for </w:t>
      </w:r>
      <w:r w:rsidR="005665AA" w:rsidRPr="004326CA">
        <w:rPr>
          <w:rFonts w:cstheme="minorHAnsi"/>
        </w:rPr>
        <w:t xml:space="preserve">prioritizing high risk workers for </w:t>
      </w:r>
      <w:r w:rsidR="00591D05" w:rsidRPr="004326CA">
        <w:rPr>
          <w:rFonts w:cstheme="minorHAnsi"/>
        </w:rPr>
        <w:t>w</w:t>
      </w:r>
      <w:r w:rsidR="00535800" w:rsidRPr="004326CA">
        <w:rPr>
          <w:rFonts w:cstheme="minorHAnsi"/>
        </w:rPr>
        <w:t>orkplace protections,</w:t>
      </w:r>
      <w:r w:rsidR="00591D05" w:rsidRPr="004326CA">
        <w:rPr>
          <w:rFonts w:cstheme="minorHAnsi"/>
        </w:rPr>
        <w:t xml:space="preserve"> early disease detecti</w:t>
      </w:r>
      <w:r w:rsidR="003E01F0" w:rsidRPr="004326CA">
        <w:rPr>
          <w:rFonts w:cstheme="minorHAnsi"/>
        </w:rPr>
        <w:t>o</w:t>
      </w:r>
      <w:r w:rsidR="00591D05" w:rsidRPr="004326CA">
        <w:rPr>
          <w:rFonts w:cstheme="minorHAnsi"/>
        </w:rPr>
        <w:t xml:space="preserve">n, and health communications, and for vaccine allocation </w:t>
      </w:r>
      <w:r w:rsidR="00535800" w:rsidRPr="004326CA">
        <w:rPr>
          <w:rFonts w:cstheme="minorHAnsi"/>
        </w:rPr>
        <w:t xml:space="preserve">should </w:t>
      </w:r>
      <w:r w:rsidR="0021120E">
        <w:rPr>
          <w:rFonts w:cstheme="minorHAnsi"/>
        </w:rPr>
        <w:t xml:space="preserve">be </w:t>
      </w:r>
      <w:r w:rsidR="00D63ED6" w:rsidRPr="004326CA">
        <w:rPr>
          <w:rFonts w:cstheme="minorHAnsi"/>
        </w:rPr>
        <w:t xml:space="preserve">made within the context </w:t>
      </w:r>
      <w:r w:rsidR="003E01F0" w:rsidRPr="004326CA">
        <w:rPr>
          <w:rFonts w:cstheme="minorHAnsi"/>
        </w:rPr>
        <w:t>of</w:t>
      </w:r>
      <w:r w:rsidR="00D63ED6" w:rsidRPr="004326CA">
        <w:rPr>
          <w:rFonts w:cstheme="minorHAnsi"/>
        </w:rPr>
        <w:t xml:space="preserve"> a health equity and justice framework. States can use statewi</w:t>
      </w:r>
      <w:r w:rsidR="003E01F0" w:rsidRPr="004326CA">
        <w:rPr>
          <w:rFonts w:cstheme="minorHAnsi"/>
        </w:rPr>
        <w:t>d</w:t>
      </w:r>
      <w:r w:rsidR="00D63ED6" w:rsidRPr="004326CA">
        <w:rPr>
          <w:rFonts w:cstheme="minorHAnsi"/>
        </w:rPr>
        <w:t xml:space="preserve">e data on employment by race and </w:t>
      </w:r>
      <w:r w:rsidR="00591D05" w:rsidRPr="004326CA">
        <w:rPr>
          <w:rFonts w:cstheme="minorHAnsi"/>
        </w:rPr>
        <w:t>ethnic</w:t>
      </w:r>
      <w:r w:rsidR="003E01F0" w:rsidRPr="004326CA">
        <w:rPr>
          <w:rFonts w:cstheme="minorHAnsi"/>
        </w:rPr>
        <w:t>ity</w:t>
      </w:r>
      <w:r w:rsidR="00D63ED6" w:rsidRPr="004326CA">
        <w:rPr>
          <w:rFonts w:cstheme="minorHAnsi"/>
        </w:rPr>
        <w:t xml:space="preserve"> combined with information </w:t>
      </w:r>
      <w:r w:rsidR="005665AA" w:rsidRPr="004326CA">
        <w:rPr>
          <w:rFonts w:cstheme="minorHAnsi"/>
        </w:rPr>
        <w:t xml:space="preserve">about </w:t>
      </w:r>
      <w:r w:rsidR="00D63ED6" w:rsidRPr="004326CA">
        <w:rPr>
          <w:rFonts w:cstheme="minorHAnsi"/>
        </w:rPr>
        <w:t xml:space="preserve">exposure </w:t>
      </w:r>
      <w:r w:rsidR="003E01F0" w:rsidRPr="004326CA">
        <w:rPr>
          <w:rFonts w:cstheme="minorHAnsi"/>
        </w:rPr>
        <w:t xml:space="preserve">to SARS-CoV-2 </w:t>
      </w:r>
      <w:r w:rsidR="00D63ED6" w:rsidRPr="004326CA">
        <w:rPr>
          <w:rFonts w:cstheme="minorHAnsi"/>
        </w:rPr>
        <w:t xml:space="preserve">in </w:t>
      </w:r>
      <w:r w:rsidR="003E01F0" w:rsidRPr="004326CA">
        <w:rPr>
          <w:rFonts w:cstheme="minorHAnsi"/>
        </w:rPr>
        <w:t xml:space="preserve">the </w:t>
      </w:r>
      <w:r w:rsidR="00E83A35" w:rsidRPr="004326CA">
        <w:rPr>
          <w:rFonts w:cstheme="minorHAnsi"/>
        </w:rPr>
        <w:t xml:space="preserve">SOEM </w:t>
      </w:r>
      <w:r w:rsidR="00591D05" w:rsidRPr="004326CA">
        <w:rPr>
          <w:rFonts w:cstheme="minorHAnsi"/>
        </w:rPr>
        <w:t>to inform this work.</w:t>
      </w:r>
      <w:r w:rsidR="00D63ED6" w:rsidRPr="004326CA">
        <w:rPr>
          <w:rFonts w:cstheme="minorHAnsi"/>
        </w:rPr>
        <w:t xml:space="preserve">  Key sources of st</w:t>
      </w:r>
      <w:r w:rsidR="00591D05" w:rsidRPr="004326CA">
        <w:rPr>
          <w:rFonts w:cstheme="minorHAnsi"/>
        </w:rPr>
        <w:t>a</w:t>
      </w:r>
      <w:r w:rsidR="00D63ED6" w:rsidRPr="004326CA">
        <w:rPr>
          <w:rFonts w:cstheme="minorHAnsi"/>
        </w:rPr>
        <w:t>te l</w:t>
      </w:r>
      <w:r w:rsidR="003E01F0" w:rsidRPr="004326CA">
        <w:rPr>
          <w:rFonts w:cstheme="minorHAnsi"/>
        </w:rPr>
        <w:t>e</w:t>
      </w:r>
      <w:r w:rsidR="00D63ED6" w:rsidRPr="004326CA">
        <w:rPr>
          <w:rFonts w:cstheme="minorHAnsi"/>
        </w:rPr>
        <w:t xml:space="preserve">vel employment data are described </w:t>
      </w:r>
      <w:r w:rsidR="008C23FC" w:rsidRPr="004326CA">
        <w:rPr>
          <w:rFonts w:cstheme="minorHAnsi"/>
        </w:rPr>
        <w:t>in Appendix 4.</w:t>
      </w:r>
      <w:r w:rsidR="008C23FC">
        <w:rPr>
          <w:rFonts w:cstheme="minorHAnsi"/>
        </w:rPr>
        <w:t xml:space="preserve"> </w:t>
      </w:r>
    </w:p>
    <w:p w14:paraId="2BB30CBD" w14:textId="0EFC6A28" w:rsidR="00866B1D" w:rsidRPr="00FC2125" w:rsidRDefault="00743AE2" w:rsidP="00EE5FA5">
      <w:pPr>
        <w:pStyle w:val="Heading1"/>
      </w:pPr>
      <w:r w:rsidRPr="00FC2125">
        <w:t>Discussion</w:t>
      </w:r>
    </w:p>
    <w:p w14:paraId="271EED31" w14:textId="431DC3E7" w:rsidR="000A6466" w:rsidRPr="000C6821" w:rsidRDefault="006A6C6A" w:rsidP="007F5CD1">
      <w:pPr>
        <w:rPr>
          <w:rFonts w:cstheme="minorHAnsi"/>
          <w:bCs/>
        </w:rPr>
      </w:pPr>
      <w:r w:rsidRPr="00F84566">
        <w:rPr>
          <w:rFonts w:cstheme="minorHAnsi"/>
        </w:rPr>
        <w:t>Ideally, employment data on COVID</w:t>
      </w:r>
      <w:r w:rsidR="00FC2125" w:rsidRPr="00F84566">
        <w:rPr>
          <w:rFonts w:cstheme="minorHAnsi"/>
        </w:rPr>
        <w:t>-19</w:t>
      </w:r>
      <w:r w:rsidRPr="00F84566">
        <w:rPr>
          <w:rFonts w:cstheme="minorHAnsi"/>
        </w:rPr>
        <w:t xml:space="preserve"> cases would be collected systematically and </w:t>
      </w:r>
      <w:r w:rsidR="00B11F87" w:rsidRPr="00F84566">
        <w:rPr>
          <w:rFonts w:cstheme="minorHAnsi"/>
        </w:rPr>
        <w:t xml:space="preserve">surveillance </w:t>
      </w:r>
      <w:r w:rsidRPr="00F84566">
        <w:rPr>
          <w:rFonts w:cstheme="minorHAnsi"/>
        </w:rPr>
        <w:t xml:space="preserve">case data </w:t>
      </w:r>
      <w:r w:rsidR="000527B1" w:rsidRPr="00E62BD0">
        <w:rPr>
          <w:rFonts w:cstheme="minorHAnsi"/>
        </w:rPr>
        <w:t xml:space="preserve">would </w:t>
      </w:r>
      <w:r w:rsidRPr="00E62BD0">
        <w:rPr>
          <w:rFonts w:cstheme="minorHAnsi"/>
        </w:rPr>
        <w:t xml:space="preserve">identify occupations and </w:t>
      </w:r>
      <w:r w:rsidR="00D8136D" w:rsidRPr="00E62BD0">
        <w:rPr>
          <w:rFonts w:cstheme="minorHAnsi"/>
        </w:rPr>
        <w:t>industries</w:t>
      </w:r>
      <w:r w:rsidRPr="00E62BD0">
        <w:rPr>
          <w:rFonts w:cstheme="minorHAnsi"/>
        </w:rPr>
        <w:t xml:space="preserve"> in which workers </w:t>
      </w:r>
      <w:r w:rsidR="00FD1F2F" w:rsidRPr="00E62BD0">
        <w:rPr>
          <w:rFonts w:cstheme="minorHAnsi"/>
        </w:rPr>
        <w:t>are</w:t>
      </w:r>
      <w:r w:rsidR="000527B1" w:rsidRPr="00E62BD0">
        <w:rPr>
          <w:rFonts w:cstheme="minorHAnsi"/>
        </w:rPr>
        <w:t xml:space="preserve"> at increased risk</w:t>
      </w:r>
      <w:r w:rsidRPr="00E62BD0">
        <w:rPr>
          <w:rFonts w:cstheme="minorHAnsi"/>
        </w:rPr>
        <w:t xml:space="preserve"> of </w:t>
      </w:r>
      <w:r w:rsidR="00A638EF" w:rsidRPr="00E62BD0">
        <w:rPr>
          <w:rFonts w:cstheme="minorHAnsi"/>
        </w:rPr>
        <w:t>exposure</w:t>
      </w:r>
      <w:r w:rsidR="000527B1" w:rsidRPr="00E62BD0">
        <w:rPr>
          <w:rFonts w:cstheme="minorHAnsi"/>
        </w:rPr>
        <w:t xml:space="preserve"> to SARS-CoV-2.</w:t>
      </w:r>
      <w:r w:rsidR="0002319C">
        <w:rPr>
          <w:rFonts w:cstheme="minorHAnsi"/>
        </w:rPr>
        <w:fldChar w:fldCharType="begin"/>
      </w:r>
      <w:r w:rsidR="00005D3B">
        <w:rPr>
          <w:rFonts w:cstheme="minorHAnsi"/>
        </w:rPr>
        <w:instrText xml:space="preserve"> ADDIN EN.CITE &lt;EndNote&gt;&lt;Cite&gt;&lt;Author&gt;Council of State and Territorial Epidemiologists Occupational Health Subcommittee&lt;/Author&gt;&lt;Year&gt;2020&lt;/Year&gt;&lt;RecNum&gt;23&lt;/RecNum&gt;&lt;DisplayText&gt;[25]&lt;/DisplayText&gt;&lt;record&gt;&lt;rec-number&gt;23&lt;/rec-number&gt;&lt;foreign-keys&gt;&lt;key app="EN" db-id="fev0zvzp3deftke0v2250x5xfrd59szftaet" timestamp="1613251593"&gt;23&lt;/key&gt;&lt;/foreign-keys&gt;&lt;ref-type name="Web Page"&gt;12&lt;/ref-type&gt;&lt;contributors&gt;&lt;authors&gt;&lt;author&gt;Council of State and Territorial Epidemiologists Occupational Health Subcommittee,&lt;/author&gt;&lt;/authors&gt;&lt;secondary-authors&gt;&lt;author&gt;Committee: Infectious Disease,&lt;/author&gt;&lt;/secondary-authors&gt;&lt;/contributors&gt;&lt;titles&gt;&lt;title&gt;Recommended Interim Guidance for Collecting Employment Information about COVID-19 cases Date: 4/22/2020 &lt;/title&gt;&lt;/titles&gt;&lt;dates&gt;&lt;year&gt;2020&lt;/year&gt;&lt;/dates&gt;&lt;publisher&gt;Council of State and Territorial Epidemiologists,&lt;/publisher&gt;&lt;urls&gt;&lt;related-urls&gt;&lt;url&gt;https://cdn.ymaws.com/www.cste.org/resource/resmgr/publications/Guidance_collecting_io_covid.pdf&lt;/url&gt;&lt;/related-urls&gt;&lt;/urls&gt;&lt;/record&gt;&lt;/Cite&gt;&lt;/EndNote&gt;</w:instrText>
      </w:r>
      <w:r w:rsidR="0002319C">
        <w:rPr>
          <w:rFonts w:cstheme="minorHAnsi"/>
        </w:rPr>
        <w:fldChar w:fldCharType="separate"/>
      </w:r>
      <w:r w:rsidR="00005D3B">
        <w:rPr>
          <w:rFonts w:cstheme="minorHAnsi"/>
          <w:noProof/>
        </w:rPr>
        <w:t>[25]</w:t>
      </w:r>
      <w:r w:rsidR="0002319C">
        <w:rPr>
          <w:rFonts w:cstheme="minorHAnsi"/>
        </w:rPr>
        <w:fldChar w:fldCharType="end"/>
      </w:r>
      <w:r w:rsidR="00007CCB">
        <w:rPr>
          <w:rFonts w:cstheme="minorHAnsi"/>
        </w:rPr>
        <w:t xml:space="preserve">  </w:t>
      </w:r>
      <w:r w:rsidR="000527B1" w:rsidRPr="00E62BD0">
        <w:rPr>
          <w:rFonts w:cstheme="minorHAnsi"/>
        </w:rPr>
        <w:t>To address this infor</w:t>
      </w:r>
      <w:r w:rsidR="009D72CB" w:rsidRPr="00E62BD0">
        <w:rPr>
          <w:rFonts w:cstheme="minorHAnsi"/>
        </w:rPr>
        <w:t>ma</w:t>
      </w:r>
      <w:r w:rsidR="000527B1" w:rsidRPr="00E62BD0">
        <w:rPr>
          <w:rFonts w:cstheme="minorHAnsi"/>
        </w:rPr>
        <w:t>tion gap,</w:t>
      </w:r>
      <w:r w:rsidR="008C23FC">
        <w:rPr>
          <w:rFonts w:cstheme="minorHAnsi"/>
        </w:rPr>
        <w:t xml:space="preserve"> </w:t>
      </w:r>
      <w:r w:rsidR="009D72CB" w:rsidRPr="00E62BD0">
        <w:rPr>
          <w:rFonts w:cstheme="minorHAnsi"/>
        </w:rPr>
        <w:t xml:space="preserve">we have </w:t>
      </w:r>
      <w:r w:rsidRPr="00E62BD0">
        <w:rPr>
          <w:rFonts w:cstheme="minorHAnsi"/>
        </w:rPr>
        <w:t xml:space="preserve">used </w:t>
      </w:r>
      <w:r w:rsidR="00D8136D" w:rsidRPr="00E62BD0">
        <w:rPr>
          <w:rFonts w:cstheme="minorHAnsi"/>
        </w:rPr>
        <w:t>available</w:t>
      </w:r>
      <w:r w:rsidRPr="00E62BD0">
        <w:rPr>
          <w:rFonts w:cstheme="minorHAnsi"/>
        </w:rPr>
        <w:t xml:space="preserve"> </w:t>
      </w:r>
      <w:r w:rsidR="00D8136D" w:rsidRPr="00E62BD0">
        <w:rPr>
          <w:rFonts w:cstheme="minorHAnsi"/>
        </w:rPr>
        <w:t>information</w:t>
      </w:r>
      <w:r w:rsidRPr="00E62BD0">
        <w:rPr>
          <w:rFonts w:cstheme="minorHAnsi"/>
        </w:rPr>
        <w:t xml:space="preserve"> about job </w:t>
      </w:r>
      <w:r w:rsidR="00D8136D" w:rsidRPr="00E62BD0">
        <w:rPr>
          <w:rFonts w:cstheme="minorHAnsi"/>
        </w:rPr>
        <w:t>characteristics</w:t>
      </w:r>
      <w:r w:rsidRPr="00E62BD0">
        <w:rPr>
          <w:rFonts w:cstheme="minorHAnsi"/>
        </w:rPr>
        <w:t xml:space="preserve"> </w:t>
      </w:r>
      <w:r w:rsidR="00B11F87" w:rsidRPr="00E62BD0">
        <w:rPr>
          <w:rFonts w:cstheme="minorHAnsi"/>
        </w:rPr>
        <w:t xml:space="preserve">to identify which occupations are </w:t>
      </w:r>
      <w:r w:rsidR="00A31039">
        <w:rPr>
          <w:rFonts w:cstheme="minorHAnsi"/>
        </w:rPr>
        <w:t xml:space="preserve">likely </w:t>
      </w:r>
      <w:r w:rsidR="009D72CB" w:rsidRPr="00E62BD0">
        <w:rPr>
          <w:rFonts w:cstheme="minorHAnsi"/>
        </w:rPr>
        <w:t xml:space="preserve">at </w:t>
      </w:r>
      <w:r w:rsidR="000527B1" w:rsidRPr="00E62BD0">
        <w:rPr>
          <w:rFonts w:cstheme="minorHAnsi"/>
        </w:rPr>
        <w:t>increased risk</w:t>
      </w:r>
      <w:r w:rsidR="00B11F87" w:rsidRPr="00E62BD0">
        <w:rPr>
          <w:rFonts w:cstheme="minorHAnsi"/>
        </w:rPr>
        <w:t xml:space="preserve">. </w:t>
      </w:r>
      <w:r w:rsidR="000527B1" w:rsidRPr="00E62BD0">
        <w:rPr>
          <w:rFonts w:cstheme="minorHAnsi"/>
        </w:rPr>
        <w:t xml:space="preserve"> </w:t>
      </w:r>
      <w:r w:rsidR="001E4ABB" w:rsidRPr="00E62BD0">
        <w:rPr>
          <w:rFonts w:cstheme="minorHAnsi"/>
        </w:rPr>
        <w:t xml:space="preserve">A </w:t>
      </w:r>
      <w:r w:rsidR="00D8136D" w:rsidRPr="00E62BD0">
        <w:rPr>
          <w:rFonts w:cstheme="minorHAnsi"/>
        </w:rPr>
        <w:t>strength</w:t>
      </w:r>
      <w:r w:rsidR="00F458F7" w:rsidRPr="00E62BD0">
        <w:rPr>
          <w:rFonts w:cstheme="minorHAnsi"/>
        </w:rPr>
        <w:t xml:space="preserve"> </w:t>
      </w:r>
      <w:r w:rsidR="00194D17">
        <w:rPr>
          <w:rFonts w:cstheme="minorHAnsi"/>
        </w:rPr>
        <w:t xml:space="preserve">of </w:t>
      </w:r>
      <w:r w:rsidR="00F458F7" w:rsidRPr="00E62BD0">
        <w:rPr>
          <w:rFonts w:cstheme="minorHAnsi"/>
        </w:rPr>
        <w:t xml:space="preserve">our approach </w:t>
      </w:r>
      <w:r w:rsidR="000527B1" w:rsidRPr="00E62BD0">
        <w:rPr>
          <w:rFonts w:cstheme="minorHAnsi"/>
        </w:rPr>
        <w:t xml:space="preserve">is the coupling of </w:t>
      </w:r>
      <w:r w:rsidR="00161425" w:rsidRPr="00E62BD0">
        <w:rPr>
          <w:rFonts w:cstheme="minorHAnsi"/>
        </w:rPr>
        <w:t>O*</w:t>
      </w:r>
      <w:r w:rsidR="001E4ABB" w:rsidRPr="00E62BD0">
        <w:rPr>
          <w:rFonts w:cstheme="minorHAnsi"/>
        </w:rPr>
        <w:t xml:space="preserve">NET </w:t>
      </w:r>
      <w:r w:rsidR="00D8136D" w:rsidRPr="00E62BD0">
        <w:rPr>
          <w:rFonts w:cstheme="minorHAnsi"/>
        </w:rPr>
        <w:t>data</w:t>
      </w:r>
      <w:r w:rsidR="001E4ABB" w:rsidRPr="00E62BD0">
        <w:rPr>
          <w:rFonts w:cstheme="minorHAnsi"/>
        </w:rPr>
        <w:t xml:space="preserve"> with </w:t>
      </w:r>
      <w:r w:rsidR="00B504F9" w:rsidRPr="00E62BD0">
        <w:rPr>
          <w:rFonts w:cstheme="minorHAnsi"/>
        </w:rPr>
        <w:t>review</w:t>
      </w:r>
      <w:r w:rsidR="00F458F7" w:rsidRPr="00E62BD0">
        <w:rPr>
          <w:rFonts w:cstheme="minorHAnsi"/>
        </w:rPr>
        <w:t xml:space="preserve"> by health and safety experts</w:t>
      </w:r>
      <w:r w:rsidR="00B11F87" w:rsidRPr="00E62BD0">
        <w:rPr>
          <w:rFonts w:cstheme="minorHAnsi"/>
        </w:rPr>
        <w:t>.</w:t>
      </w:r>
      <w:r w:rsidR="00B504F9" w:rsidRPr="00E62BD0">
        <w:rPr>
          <w:rFonts w:cstheme="minorHAnsi"/>
        </w:rPr>
        <w:t xml:space="preserve">  </w:t>
      </w:r>
      <w:r w:rsidR="00B504F9" w:rsidRPr="00E62BD0">
        <w:rPr>
          <w:rFonts w:cstheme="minorHAnsi"/>
          <w:bCs/>
        </w:rPr>
        <w:t>A princip</w:t>
      </w:r>
      <w:r w:rsidR="00194D17">
        <w:rPr>
          <w:rFonts w:cstheme="minorHAnsi"/>
          <w:bCs/>
        </w:rPr>
        <w:t xml:space="preserve">le </w:t>
      </w:r>
      <w:r w:rsidR="00B504F9" w:rsidRPr="00E62BD0">
        <w:rPr>
          <w:rFonts w:cstheme="minorHAnsi"/>
          <w:bCs/>
        </w:rPr>
        <w:t>of exposure assessment is th</w:t>
      </w:r>
      <w:r w:rsidR="001E4ABB" w:rsidRPr="00E62BD0">
        <w:rPr>
          <w:rFonts w:cstheme="minorHAnsi"/>
          <w:bCs/>
        </w:rPr>
        <w:t>a</w:t>
      </w:r>
      <w:r w:rsidR="00B504F9" w:rsidRPr="00E62BD0">
        <w:rPr>
          <w:rFonts w:cstheme="minorHAnsi"/>
          <w:bCs/>
        </w:rPr>
        <w:t xml:space="preserve">t the </w:t>
      </w:r>
      <w:r w:rsidR="006A1719" w:rsidRPr="00E62BD0">
        <w:rPr>
          <w:rFonts w:cstheme="minorHAnsi"/>
          <w:bCs/>
        </w:rPr>
        <w:t xml:space="preserve">measure </w:t>
      </w:r>
      <w:r w:rsidR="00B504F9" w:rsidRPr="00E62BD0">
        <w:rPr>
          <w:rFonts w:cstheme="minorHAnsi"/>
          <w:bCs/>
        </w:rPr>
        <w:t xml:space="preserve">of exposure must be assessed in </w:t>
      </w:r>
      <w:r w:rsidR="006A1719" w:rsidRPr="00E62BD0">
        <w:rPr>
          <w:rFonts w:cstheme="minorHAnsi"/>
          <w:bCs/>
        </w:rPr>
        <w:t xml:space="preserve">relation </w:t>
      </w:r>
      <w:r w:rsidR="00B504F9" w:rsidRPr="00E62BD0">
        <w:rPr>
          <w:rFonts w:cstheme="minorHAnsi"/>
          <w:bCs/>
        </w:rPr>
        <w:t xml:space="preserve">to the </w:t>
      </w:r>
      <w:r w:rsidR="00FD1F2F" w:rsidRPr="00E62BD0">
        <w:rPr>
          <w:rFonts w:cstheme="minorHAnsi"/>
          <w:bCs/>
        </w:rPr>
        <w:t xml:space="preserve">disease </w:t>
      </w:r>
      <w:r w:rsidR="00B504F9" w:rsidRPr="00E62BD0">
        <w:rPr>
          <w:rFonts w:cstheme="minorHAnsi"/>
          <w:bCs/>
        </w:rPr>
        <w:t>of interest. O</w:t>
      </w:r>
      <w:r w:rsidR="006A1719" w:rsidRPr="00E62BD0">
        <w:rPr>
          <w:rFonts w:cstheme="minorHAnsi"/>
          <w:bCs/>
        </w:rPr>
        <w:t>*</w:t>
      </w:r>
      <w:r w:rsidR="00B504F9" w:rsidRPr="00E62BD0">
        <w:rPr>
          <w:rFonts w:cstheme="minorHAnsi"/>
          <w:bCs/>
        </w:rPr>
        <w:t>NET was developed for general purposes and our revi</w:t>
      </w:r>
      <w:r w:rsidR="001E4ABB" w:rsidRPr="00E62BD0">
        <w:rPr>
          <w:rFonts w:cstheme="minorHAnsi"/>
          <w:bCs/>
        </w:rPr>
        <w:t>e</w:t>
      </w:r>
      <w:r w:rsidR="00B504F9" w:rsidRPr="00E62BD0">
        <w:rPr>
          <w:rFonts w:cstheme="minorHAnsi"/>
          <w:bCs/>
        </w:rPr>
        <w:t xml:space="preserve">w </w:t>
      </w:r>
      <w:r w:rsidR="006A1719" w:rsidRPr="00E62BD0">
        <w:rPr>
          <w:rFonts w:cstheme="minorHAnsi"/>
          <w:bCs/>
        </w:rPr>
        <w:t>f</w:t>
      </w:r>
      <w:r w:rsidR="00B504F9" w:rsidRPr="00E62BD0">
        <w:rPr>
          <w:rFonts w:cstheme="minorHAnsi"/>
          <w:bCs/>
        </w:rPr>
        <w:t xml:space="preserve">ound </w:t>
      </w:r>
      <w:r w:rsidR="0021120E" w:rsidRPr="00E62BD0">
        <w:rPr>
          <w:rFonts w:cstheme="minorHAnsi"/>
          <w:bCs/>
        </w:rPr>
        <w:t>several</w:t>
      </w:r>
      <w:r w:rsidR="00B504F9" w:rsidRPr="00E62BD0">
        <w:rPr>
          <w:rFonts w:cstheme="minorHAnsi"/>
          <w:bCs/>
        </w:rPr>
        <w:t xml:space="preserve"> instances</w:t>
      </w:r>
      <w:r w:rsidR="007C3769" w:rsidRPr="00E62BD0">
        <w:rPr>
          <w:rFonts w:cstheme="minorHAnsi"/>
          <w:bCs/>
        </w:rPr>
        <w:t>,</w:t>
      </w:r>
      <w:r w:rsidR="00B504F9" w:rsidRPr="00E62BD0">
        <w:rPr>
          <w:rFonts w:cstheme="minorHAnsi"/>
          <w:bCs/>
        </w:rPr>
        <w:t xml:space="preserve"> </w:t>
      </w:r>
      <w:r w:rsidR="006A1719" w:rsidRPr="00E62BD0">
        <w:rPr>
          <w:rFonts w:cstheme="minorHAnsi"/>
          <w:bCs/>
        </w:rPr>
        <w:t xml:space="preserve">including </w:t>
      </w:r>
      <w:r w:rsidR="00B504F9" w:rsidRPr="00E62BD0">
        <w:rPr>
          <w:rFonts w:cstheme="minorHAnsi"/>
          <w:bCs/>
        </w:rPr>
        <w:t>some syst</w:t>
      </w:r>
      <w:r w:rsidR="006A1719" w:rsidRPr="00E62BD0">
        <w:rPr>
          <w:rFonts w:cstheme="minorHAnsi"/>
          <w:bCs/>
        </w:rPr>
        <w:t>e</w:t>
      </w:r>
      <w:r w:rsidR="00B504F9" w:rsidRPr="00E62BD0">
        <w:rPr>
          <w:rFonts w:cstheme="minorHAnsi"/>
          <w:bCs/>
        </w:rPr>
        <w:t>m</w:t>
      </w:r>
      <w:r w:rsidR="006A1719" w:rsidRPr="00E62BD0">
        <w:rPr>
          <w:rFonts w:cstheme="minorHAnsi"/>
          <w:bCs/>
        </w:rPr>
        <w:t>a</w:t>
      </w:r>
      <w:r w:rsidR="00B504F9" w:rsidRPr="00E62BD0">
        <w:rPr>
          <w:rFonts w:cstheme="minorHAnsi"/>
          <w:bCs/>
        </w:rPr>
        <w:t xml:space="preserve">tic </w:t>
      </w:r>
      <w:r w:rsidR="001E4ABB" w:rsidRPr="00E62BD0">
        <w:rPr>
          <w:rFonts w:cstheme="minorHAnsi"/>
          <w:bCs/>
        </w:rPr>
        <w:t xml:space="preserve">patterns, </w:t>
      </w:r>
      <w:r w:rsidR="00B504F9" w:rsidRPr="00E62BD0">
        <w:rPr>
          <w:rFonts w:cstheme="minorHAnsi"/>
          <w:bCs/>
        </w:rPr>
        <w:t>where scores for the questions used to ass</w:t>
      </w:r>
      <w:r w:rsidR="001E4ABB" w:rsidRPr="00E62BD0">
        <w:rPr>
          <w:rFonts w:cstheme="minorHAnsi"/>
          <w:bCs/>
        </w:rPr>
        <w:t>e</w:t>
      </w:r>
      <w:r w:rsidR="00B504F9" w:rsidRPr="00E62BD0">
        <w:rPr>
          <w:rFonts w:cstheme="minorHAnsi"/>
          <w:bCs/>
        </w:rPr>
        <w:t>ss exposure did not appear to capture information relevant to exposure to an infect</w:t>
      </w:r>
      <w:r w:rsidR="001E4ABB" w:rsidRPr="00E62BD0">
        <w:rPr>
          <w:rFonts w:cstheme="minorHAnsi"/>
          <w:bCs/>
        </w:rPr>
        <w:t>i</w:t>
      </w:r>
      <w:r w:rsidR="00B504F9" w:rsidRPr="00E62BD0">
        <w:rPr>
          <w:rFonts w:cstheme="minorHAnsi"/>
          <w:bCs/>
        </w:rPr>
        <w:t xml:space="preserve">ous agent in the workplace.  </w:t>
      </w:r>
      <w:r w:rsidR="00F84566">
        <w:rPr>
          <w:rFonts w:cstheme="minorHAnsi"/>
          <w:bCs/>
        </w:rPr>
        <w:t xml:space="preserve">Additionally, there are fewer than 25 surveys administered for many occupations. </w:t>
      </w:r>
      <w:r w:rsidR="00F84566" w:rsidRPr="00561931">
        <w:rPr>
          <w:rFonts w:cstheme="minorHAnsi"/>
          <w:bCs/>
        </w:rPr>
        <w:t xml:space="preserve"> </w:t>
      </w:r>
      <w:r w:rsidR="00B504F9" w:rsidRPr="00F84566">
        <w:rPr>
          <w:rFonts w:cstheme="minorHAnsi"/>
          <w:bCs/>
        </w:rPr>
        <w:t xml:space="preserve">Expert review </w:t>
      </w:r>
      <w:r w:rsidR="00F458F7" w:rsidRPr="00F84566">
        <w:rPr>
          <w:rFonts w:cstheme="minorHAnsi"/>
          <w:bCs/>
        </w:rPr>
        <w:t xml:space="preserve">enabled us to </w:t>
      </w:r>
      <w:r w:rsidR="00B504F9" w:rsidRPr="00F84566">
        <w:rPr>
          <w:rFonts w:cstheme="minorHAnsi"/>
          <w:bCs/>
        </w:rPr>
        <w:t xml:space="preserve">identify </w:t>
      </w:r>
      <w:r w:rsidR="00F458F7" w:rsidRPr="00F84566">
        <w:rPr>
          <w:rFonts w:cstheme="minorHAnsi"/>
          <w:bCs/>
        </w:rPr>
        <w:t xml:space="preserve">these </w:t>
      </w:r>
      <w:r w:rsidR="00B504F9" w:rsidRPr="00F84566">
        <w:rPr>
          <w:rFonts w:cstheme="minorHAnsi"/>
          <w:bCs/>
        </w:rPr>
        <w:t>and modify scores where indicated.  However, expert review</w:t>
      </w:r>
      <w:r w:rsidR="00F458F7" w:rsidRPr="00F84566">
        <w:rPr>
          <w:rFonts w:cstheme="minorHAnsi"/>
          <w:bCs/>
        </w:rPr>
        <w:t xml:space="preserve"> itself is </w:t>
      </w:r>
      <w:r w:rsidR="000338F6" w:rsidRPr="00F84566">
        <w:rPr>
          <w:rFonts w:cstheme="minorHAnsi"/>
          <w:bCs/>
        </w:rPr>
        <w:t>challenging</w:t>
      </w:r>
      <w:r w:rsidR="006A1719" w:rsidRPr="00F84566">
        <w:rPr>
          <w:rFonts w:cstheme="minorHAnsi"/>
          <w:bCs/>
        </w:rPr>
        <w:t>,</w:t>
      </w:r>
      <w:r w:rsidR="000338F6" w:rsidRPr="00F84566">
        <w:rPr>
          <w:rFonts w:cstheme="minorHAnsi"/>
          <w:bCs/>
        </w:rPr>
        <w:t xml:space="preserve"> </w:t>
      </w:r>
      <w:r w:rsidR="006A1719" w:rsidRPr="00F84566">
        <w:rPr>
          <w:rFonts w:cstheme="minorHAnsi"/>
          <w:bCs/>
        </w:rPr>
        <w:t xml:space="preserve">especially </w:t>
      </w:r>
      <w:r w:rsidR="000338F6" w:rsidRPr="00F84566">
        <w:rPr>
          <w:rFonts w:cstheme="minorHAnsi"/>
          <w:bCs/>
        </w:rPr>
        <w:t>across the full ra</w:t>
      </w:r>
      <w:r w:rsidR="006A1719" w:rsidRPr="00F84566">
        <w:rPr>
          <w:rFonts w:cstheme="minorHAnsi"/>
          <w:bCs/>
        </w:rPr>
        <w:t>nge</w:t>
      </w:r>
      <w:r w:rsidR="000338F6" w:rsidRPr="00F84566">
        <w:rPr>
          <w:rFonts w:cstheme="minorHAnsi"/>
          <w:bCs/>
        </w:rPr>
        <w:t xml:space="preserve"> of occupations, and </w:t>
      </w:r>
      <w:r w:rsidR="00B504F9" w:rsidRPr="00F84566">
        <w:rPr>
          <w:rFonts w:cstheme="minorHAnsi"/>
          <w:bCs/>
        </w:rPr>
        <w:t>sub</w:t>
      </w:r>
      <w:r w:rsidR="00F458F7" w:rsidRPr="00F84566">
        <w:rPr>
          <w:rFonts w:cstheme="minorHAnsi"/>
          <w:bCs/>
        </w:rPr>
        <w:t xml:space="preserve">ject </w:t>
      </w:r>
      <w:r w:rsidR="00B504F9" w:rsidRPr="00F84566">
        <w:rPr>
          <w:rFonts w:cstheme="minorHAnsi"/>
          <w:bCs/>
        </w:rPr>
        <w:t xml:space="preserve">to </w:t>
      </w:r>
      <w:r w:rsidR="00FD1F2F" w:rsidRPr="00F84566">
        <w:rPr>
          <w:rFonts w:cstheme="minorHAnsi"/>
          <w:bCs/>
        </w:rPr>
        <w:t xml:space="preserve">implicit </w:t>
      </w:r>
      <w:r w:rsidR="00B504F9" w:rsidRPr="00F84566">
        <w:rPr>
          <w:rFonts w:cstheme="minorHAnsi"/>
          <w:bCs/>
        </w:rPr>
        <w:t>bias. W</w:t>
      </w:r>
      <w:r w:rsidR="00F458F7" w:rsidRPr="00F84566">
        <w:rPr>
          <w:rFonts w:cstheme="minorHAnsi"/>
          <w:bCs/>
        </w:rPr>
        <w:t>e</w:t>
      </w:r>
      <w:r w:rsidR="00B504F9" w:rsidRPr="00F84566">
        <w:rPr>
          <w:rFonts w:cstheme="minorHAnsi"/>
          <w:bCs/>
        </w:rPr>
        <w:t xml:space="preserve"> have made a concerted effort to be as </w:t>
      </w:r>
      <w:r w:rsidR="00F458F7" w:rsidRPr="00F84566">
        <w:rPr>
          <w:rFonts w:cstheme="minorHAnsi"/>
          <w:bCs/>
        </w:rPr>
        <w:t xml:space="preserve">transparent </w:t>
      </w:r>
      <w:r w:rsidR="00B504F9" w:rsidRPr="00F84566">
        <w:rPr>
          <w:rFonts w:cstheme="minorHAnsi"/>
          <w:bCs/>
        </w:rPr>
        <w:t>as possib</w:t>
      </w:r>
      <w:r w:rsidR="00F458F7" w:rsidRPr="00F84566">
        <w:rPr>
          <w:rFonts w:cstheme="minorHAnsi"/>
          <w:bCs/>
        </w:rPr>
        <w:t>le</w:t>
      </w:r>
      <w:r w:rsidR="00B504F9" w:rsidRPr="00F84566">
        <w:rPr>
          <w:rFonts w:cstheme="minorHAnsi"/>
          <w:bCs/>
        </w:rPr>
        <w:t xml:space="preserve"> documenting our assumptions and decision rules in appended files</w:t>
      </w:r>
      <w:r w:rsidR="000338F6" w:rsidRPr="00F84566">
        <w:rPr>
          <w:rFonts w:cstheme="minorHAnsi"/>
          <w:bCs/>
        </w:rPr>
        <w:t xml:space="preserve"> so that</w:t>
      </w:r>
      <w:r w:rsidR="0021120E">
        <w:rPr>
          <w:rFonts w:cstheme="minorHAnsi"/>
          <w:bCs/>
        </w:rPr>
        <w:t>,</w:t>
      </w:r>
      <w:r w:rsidR="000338F6" w:rsidRPr="00F84566">
        <w:rPr>
          <w:rFonts w:cstheme="minorHAnsi"/>
          <w:bCs/>
        </w:rPr>
        <w:t xml:space="preserve"> as we </w:t>
      </w:r>
      <w:r w:rsidR="00164176" w:rsidRPr="00F84566">
        <w:rPr>
          <w:rFonts w:cstheme="minorHAnsi"/>
          <w:bCs/>
        </w:rPr>
        <w:t xml:space="preserve">and </w:t>
      </w:r>
      <w:r w:rsidR="000338F6" w:rsidRPr="00E62BD0">
        <w:rPr>
          <w:rFonts w:cstheme="minorHAnsi"/>
          <w:bCs/>
        </w:rPr>
        <w:t>other</w:t>
      </w:r>
      <w:r w:rsidR="0021120E">
        <w:rPr>
          <w:rFonts w:cstheme="minorHAnsi"/>
          <w:bCs/>
        </w:rPr>
        <w:t>s</w:t>
      </w:r>
      <w:r w:rsidR="000338F6" w:rsidRPr="00E62BD0">
        <w:rPr>
          <w:rFonts w:cstheme="minorHAnsi"/>
          <w:bCs/>
        </w:rPr>
        <w:t xml:space="preserve"> learn more</w:t>
      </w:r>
      <w:r w:rsidR="006A1719" w:rsidRPr="00E62BD0">
        <w:rPr>
          <w:rFonts w:cstheme="minorHAnsi"/>
          <w:bCs/>
        </w:rPr>
        <w:t xml:space="preserve">, </w:t>
      </w:r>
      <w:r w:rsidR="000338F6" w:rsidRPr="00E62BD0">
        <w:rPr>
          <w:rFonts w:cstheme="minorHAnsi"/>
          <w:bCs/>
        </w:rPr>
        <w:t xml:space="preserve">these </w:t>
      </w:r>
      <w:r w:rsidR="00F458F7" w:rsidRPr="00E62BD0">
        <w:rPr>
          <w:rFonts w:cstheme="minorHAnsi"/>
          <w:bCs/>
        </w:rPr>
        <w:t>can be modified.</w:t>
      </w:r>
      <w:r w:rsidR="00B504F9" w:rsidRPr="000C6821">
        <w:rPr>
          <w:rFonts w:cstheme="minorHAnsi"/>
          <w:bCs/>
        </w:rPr>
        <w:t xml:space="preserve">  </w:t>
      </w:r>
    </w:p>
    <w:p w14:paraId="1E0438F8" w14:textId="6FA79828" w:rsidR="003B2D3C" w:rsidRPr="00EE5FA5" w:rsidRDefault="008512EC" w:rsidP="007F5CD1">
      <w:pPr>
        <w:rPr>
          <w:rFonts w:cstheme="minorHAnsi"/>
          <w:bCs/>
          <w:sz w:val="20"/>
        </w:rPr>
      </w:pPr>
      <w:r>
        <w:rPr>
          <w:rFonts w:cstheme="minorHAnsi"/>
          <w:bCs/>
        </w:rPr>
        <w:t>There</w:t>
      </w:r>
      <w:r w:rsidR="009D72CB">
        <w:rPr>
          <w:rFonts w:cstheme="minorHAnsi"/>
          <w:bCs/>
        </w:rPr>
        <w:t xml:space="preserve"> are limitations </w:t>
      </w:r>
      <w:r w:rsidR="009D72CB" w:rsidRPr="00FA5022">
        <w:rPr>
          <w:rFonts w:cstheme="minorHAnsi"/>
          <w:bCs/>
        </w:rPr>
        <w:t xml:space="preserve">to </w:t>
      </w:r>
      <w:r w:rsidR="000338F6" w:rsidRPr="00445985">
        <w:rPr>
          <w:rFonts w:cstheme="minorHAnsi"/>
          <w:bCs/>
        </w:rPr>
        <w:t xml:space="preserve">the </w:t>
      </w:r>
      <w:r w:rsidR="004046E6">
        <w:rPr>
          <w:rFonts w:cstheme="minorHAnsi"/>
          <w:bCs/>
        </w:rPr>
        <w:t>SOEM</w:t>
      </w:r>
      <w:r w:rsidR="009D72CB" w:rsidRPr="00445985">
        <w:rPr>
          <w:rFonts w:cstheme="minorHAnsi"/>
          <w:bCs/>
        </w:rPr>
        <w:t xml:space="preserve">. </w:t>
      </w:r>
      <w:r w:rsidR="000338F6" w:rsidRPr="00FA5022">
        <w:rPr>
          <w:rFonts w:cstheme="minorHAnsi"/>
          <w:bCs/>
        </w:rPr>
        <w:t xml:space="preserve"> </w:t>
      </w:r>
      <w:r w:rsidR="009D72CB" w:rsidRPr="00FA5022">
        <w:rPr>
          <w:rFonts w:cstheme="minorHAnsi"/>
          <w:bCs/>
        </w:rPr>
        <w:t>The</w:t>
      </w:r>
      <w:r w:rsidR="00E83A35">
        <w:rPr>
          <w:rFonts w:cstheme="minorHAnsi"/>
          <w:bCs/>
        </w:rPr>
        <w:t xml:space="preserve"> SOEM</w:t>
      </w:r>
      <w:r w:rsidR="009D72CB" w:rsidRPr="00FA5022">
        <w:rPr>
          <w:rFonts w:cstheme="minorHAnsi"/>
          <w:bCs/>
        </w:rPr>
        <w:t xml:space="preserve"> </w:t>
      </w:r>
      <w:r w:rsidR="00C7667E" w:rsidRPr="00FA5022">
        <w:rPr>
          <w:rFonts w:cstheme="minorHAnsi"/>
          <w:bCs/>
        </w:rPr>
        <w:t>fo</w:t>
      </w:r>
      <w:r w:rsidR="00F458F7" w:rsidRPr="00FA5022">
        <w:rPr>
          <w:rFonts w:cstheme="minorHAnsi"/>
          <w:bCs/>
        </w:rPr>
        <w:t>cu</w:t>
      </w:r>
      <w:r w:rsidR="000338F6" w:rsidRPr="00FA5022">
        <w:rPr>
          <w:rFonts w:cstheme="minorHAnsi"/>
          <w:bCs/>
        </w:rPr>
        <w:t>s</w:t>
      </w:r>
      <w:r w:rsidR="00F458F7" w:rsidRPr="00FA5022">
        <w:rPr>
          <w:rFonts w:cstheme="minorHAnsi"/>
          <w:bCs/>
        </w:rPr>
        <w:t>es</w:t>
      </w:r>
      <w:r w:rsidR="00C7667E" w:rsidRPr="00FA5022">
        <w:rPr>
          <w:rFonts w:cstheme="minorHAnsi"/>
          <w:bCs/>
        </w:rPr>
        <w:t xml:space="preserve"> on only three of many factors in the workplace that </w:t>
      </w:r>
      <w:r w:rsidR="00FD1F2F">
        <w:rPr>
          <w:rFonts w:cstheme="minorHAnsi"/>
          <w:bCs/>
        </w:rPr>
        <w:t>a</w:t>
      </w:r>
      <w:r w:rsidR="00FD1F2F" w:rsidRPr="00FA5022">
        <w:rPr>
          <w:rFonts w:cstheme="minorHAnsi"/>
          <w:bCs/>
        </w:rPr>
        <w:t xml:space="preserve">ffect </w:t>
      </w:r>
      <w:r w:rsidR="00C7667E" w:rsidRPr="00FA5022">
        <w:rPr>
          <w:rFonts w:cstheme="minorHAnsi"/>
          <w:bCs/>
        </w:rPr>
        <w:t>exposure to SARS-CoV-</w:t>
      </w:r>
      <w:r w:rsidR="00453D38">
        <w:rPr>
          <w:rFonts w:cstheme="minorHAnsi"/>
          <w:bCs/>
        </w:rPr>
        <w:t>2</w:t>
      </w:r>
      <w:r w:rsidR="00005D3B">
        <w:rPr>
          <w:rFonts w:cstheme="minorHAnsi"/>
          <w:bCs/>
        </w:rPr>
        <w:t xml:space="preserve">. </w:t>
      </w:r>
      <w:r w:rsidR="00005D3B">
        <w:rPr>
          <w:rFonts w:cstheme="minorHAnsi"/>
          <w:bCs/>
        </w:rPr>
        <w:fldChar w:fldCharType="begin"/>
      </w:r>
      <w:r w:rsidR="00005D3B">
        <w:rPr>
          <w:rFonts w:cstheme="minorHAnsi"/>
          <w:bCs/>
        </w:rPr>
        <w:instrText xml:space="preserve"> ADDIN EN.CITE &lt;EndNote&gt;&lt;Cite&gt;&lt;Author&gt;Carlsten&lt;/Author&gt;&lt;Year&gt;2021&lt;/Year&gt;&lt;RecNum&gt;24&lt;/RecNum&gt;&lt;DisplayText&gt;[26]&lt;/DisplayText&gt;&lt;record&gt;&lt;rec-number&gt;24&lt;/rec-number&gt;&lt;foreign-keys&gt;&lt;key app="EN" db-id="fev0zvzp3deftke0v2250x5xfrd59szftaet" timestamp="1613251982"&gt;24&lt;/key&gt;&lt;/foreign-keys&gt;&lt;ref-type name="Journal Article"&gt;17&lt;/ref-type&gt;&lt;contributors&gt;&lt;authors&gt;&lt;author&gt;Carlsten, Christopher&lt;/author&gt;&lt;author&gt;Gulati, Mridu&lt;/author&gt;&lt;author&gt;Hines, Stella&lt;/author&gt;&lt;author&gt;Rose, Cecile&lt;/author&gt;&lt;author&gt;Scott, Kenneth&lt;/author&gt;&lt;author&gt;Tarlo, Susan M&lt;/author&gt;&lt;author&gt;Torén, Kjell&lt;/author&gt;&lt;author&gt;Sood, Akshay&lt;/author&gt;&lt;author&gt;de la Hoz, Rafael E&lt;/author&gt;&lt;/authors&gt;&lt;/contributors&gt;&lt;titles&gt;&lt;title&gt;COVID‐19 as an occupational disease&lt;/title&gt;&lt;secondary-title&gt;American journal of industrial medicine&lt;/secondary-title&gt;&lt;/titles&gt;&lt;periodical&gt;&lt;full-title&gt;American journal of industrial medicine&lt;/full-title&gt;&lt;/periodical&gt;&lt;dates&gt;&lt;year&gt;2021&lt;/year&gt;&lt;/dates&gt;&lt;isbn&gt;0271-3586&lt;/isbn&gt;&lt;urls&gt;&lt;/urls&gt;&lt;/record&gt;&lt;/Cite&gt;&lt;/EndNote&gt;</w:instrText>
      </w:r>
      <w:r w:rsidR="00005D3B">
        <w:rPr>
          <w:rFonts w:cstheme="minorHAnsi"/>
          <w:bCs/>
        </w:rPr>
        <w:fldChar w:fldCharType="separate"/>
      </w:r>
      <w:r w:rsidR="00005D3B">
        <w:rPr>
          <w:rFonts w:cstheme="minorHAnsi"/>
          <w:bCs/>
          <w:noProof/>
        </w:rPr>
        <w:t>[26]</w:t>
      </w:r>
      <w:r w:rsidR="00005D3B">
        <w:rPr>
          <w:rFonts w:cstheme="minorHAnsi"/>
          <w:bCs/>
        </w:rPr>
        <w:fldChar w:fldCharType="end"/>
      </w:r>
      <w:r w:rsidR="00005D3B">
        <w:rPr>
          <w:rFonts w:cstheme="minorHAnsi"/>
          <w:bCs/>
        </w:rPr>
        <w:t xml:space="preserve">  </w:t>
      </w:r>
      <w:r w:rsidR="00F458F7" w:rsidRPr="00FA5022">
        <w:rPr>
          <w:rFonts w:cstheme="minorHAnsi"/>
          <w:bCs/>
        </w:rPr>
        <w:t>We do not have infor</w:t>
      </w:r>
      <w:r w:rsidR="009D72CB" w:rsidRPr="00FA5022">
        <w:rPr>
          <w:rFonts w:cstheme="minorHAnsi"/>
          <w:bCs/>
        </w:rPr>
        <w:t>ma</w:t>
      </w:r>
      <w:r w:rsidR="00F458F7" w:rsidRPr="00FA5022">
        <w:rPr>
          <w:rFonts w:cstheme="minorHAnsi"/>
          <w:bCs/>
        </w:rPr>
        <w:t>tion about duration of exp</w:t>
      </w:r>
      <w:r w:rsidR="000338F6" w:rsidRPr="00FA5022">
        <w:rPr>
          <w:rFonts w:cstheme="minorHAnsi"/>
          <w:bCs/>
        </w:rPr>
        <w:t>osure</w:t>
      </w:r>
      <w:r w:rsidR="00F458F7" w:rsidRPr="00FA5022">
        <w:rPr>
          <w:rFonts w:cstheme="minorHAnsi"/>
          <w:bCs/>
        </w:rPr>
        <w:t xml:space="preserve"> or population density</w:t>
      </w:r>
      <w:r w:rsidR="00FD1F2F">
        <w:rPr>
          <w:rFonts w:cstheme="minorHAnsi"/>
          <w:bCs/>
        </w:rPr>
        <w:t xml:space="preserve"> in a work environment</w:t>
      </w:r>
      <w:r w:rsidR="00F458F7" w:rsidRPr="00FA5022">
        <w:rPr>
          <w:rFonts w:cstheme="minorHAnsi"/>
          <w:bCs/>
        </w:rPr>
        <w:t>. Nor do we have infor</w:t>
      </w:r>
      <w:r w:rsidR="000338F6" w:rsidRPr="00FA5022">
        <w:rPr>
          <w:rFonts w:cstheme="minorHAnsi"/>
          <w:bCs/>
        </w:rPr>
        <w:t>ma</w:t>
      </w:r>
      <w:r w:rsidR="00F458F7" w:rsidRPr="00FA5022">
        <w:rPr>
          <w:rFonts w:cstheme="minorHAnsi"/>
          <w:bCs/>
        </w:rPr>
        <w:t xml:space="preserve">tion about what </w:t>
      </w:r>
      <w:r w:rsidR="00164176" w:rsidRPr="00FA5022">
        <w:rPr>
          <w:rFonts w:cstheme="minorHAnsi"/>
          <w:bCs/>
        </w:rPr>
        <w:t>protective measu</w:t>
      </w:r>
      <w:r w:rsidR="009D72CB" w:rsidRPr="00FA5022">
        <w:rPr>
          <w:rFonts w:cstheme="minorHAnsi"/>
          <w:bCs/>
        </w:rPr>
        <w:t>r</w:t>
      </w:r>
      <w:r w:rsidR="00164176" w:rsidRPr="00FA5022">
        <w:rPr>
          <w:rFonts w:cstheme="minorHAnsi"/>
          <w:bCs/>
        </w:rPr>
        <w:t>es</w:t>
      </w:r>
      <w:r w:rsidR="00F458F7" w:rsidRPr="00FA5022">
        <w:rPr>
          <w:rFonts w:cstheme="minorHAnsi"/>
          <w:bCs/>
        </w:rPr>
        <w:t xml:space="preserve"> are in </w:t>
      </w:r>
      <w:r w:rsidR="00FA5022">
        <w:rPr>
          <w:rFonts w:cstheme="minorHAnsi"/>
          <w:bCs/>
        </w:rPr>
        <w:t xml:space="preserve">place </w:t>
      </w:r>
      <w:r w:rsidR="00164176" w:rsidRPr="00FA5022">
        <w:rPr>
          <w:rFonts w:cstheme="minorHAnsi"/>
          <w:bCs/>
        </w:rPr>
        <w:t>(</w:t>
      </w:r>
      <w:r w:rsidR="009D72CB" w:rsidRPr="00FA5022">
        <w:rPr>
          <w:rFonts w:cstheme="minorHAnsi"/>
          <w:bCs/>
        </w:rPr>
        <w:t>e.g.</w:t>
      </w:r>
      <w:r w:rsidR="00AE3D26">
        <w:rPr>
          <w:rFonts w:cstheme="minorHAnsi"/>
          <w:bCs/>
        </w:rPr>
        <w:t xml:space="preserve"> </w:t>
      </w:r>
      <w:r w:rsidR="00F458F7" w:rsidRPr="00FA5022">
        <w:rPr>
          <w:rFonts w:cstheme="minorHAnsi"/>
          <w:bCs/>
        </w:rPr>
        <w:t>personal protective equipment</w:t>
      </w:r>
      <w:r w:rsidR="00C7667E" w:rsidRPr="00FA5022">
        <w:rPr>
          <w:rFonts w:cstheme="minorHAnsi"/>
          <w:bCs/>
        </w:rPr>
        <w:t>, social distancing, cleaning and disinfection, ventilation</w:t>
      </w:r>
      <w:r w:rsidR="00F727D7" w:rsidRPr="00FA5022">
        <w:rPr>
          <w:rFonts w:cstheme="minorHAnsi"/>
          <w:bCs/>
        </w:rPr>
        <w:t xml:space="preserve">, </w:t>
      </w:r>
      <w:r w:rsidR="00C7667E" w:rsidRPr="00FA5022">
        <w:rPr>
          <w:rFonts w:cstheme="minorHAnsi"/>
          <w:bCs/>
        </w:rPr>
        <w:t>testing and screening pr</w:t>
      </w:r>
      <w:r w:rsidR="006A1719" w:rsidRPr="00FA5022">
        <w:rPr>
          <w:rFonts w:cstheme="minorHAnsi"/>
          <w:bCs/>
        </w:rPr>
        <w:t>a</w:t>
      </w:r>
      <w:r w:rsidR="00C7667E" w:rsidRPr="00FA5022">
        <w:rPr>
          <w:rFonts w:cstheme="minorHAnsi"/>
          <w:bCs/>
        </w:rPr>
        <w:t>ctices</w:t>
      </w:r>
      <w:r w:rsidR="00AE3D26">
        <w:rPr>
          <w:rFonts w:cstheme="minorHAnsi"/>
          <w:bCs/>
        </w:rPr>
        <w:t xml:space="preserve">) or about </w:t>
      </w:r>
      <w:r w:rsidR="00C7667E" w:rsidRPr="00FA5022">
        <w:rPr>
          <w:rFonts w:cstheme="minorHAnsi"/>
          <w:bCs/>
        </w:rPr>
        <w:t xml:space="preserve">company leave policies that enable workers to </w:t>
      </w:r>
      <w:r w:rsidR="000338F6" w:rsidRPr="00FA5022">
        <w:rPr>
          <w:rFonts w:cstheme="minorHAnsi"/>
          <w:bCs/>
        </w:rPr>
        <w:t>isolat</w:t>
      </w:r>
      <w:r w:rsidR="008D531E" w:rsidRPr="00FA5022">
        <w:rPr>
          <w:rFonts w:cstheme="minorHAnsi"/>
          <w:bCs/>
        </w:rPr>
        <w:t>e</w:t>
      </w:r>
      <w:r w:rsidR="000338F6" w:rsidRPr="00FA5022">
        <w:rPr>
          <w:rFonts w:cstheme="minorHAnsi"/>
          <w:bCs/>
        </w:rPr>
        <w:t xml:space="preserve"> and quar</w:t>
      </w:r>
      <w:r w:rsidR="006A1719" w:rsidRPr="00FA5022">
        <w:rPr>
          <w:rFonts w:cstheme="minorHAnsi"/>
          <w:bCs/>
        </w:rPr>
        <w:t>antine</w:t>
      </w:r>
      <w:r w:rsidR="007C3769" w:rsidRPr="00FA5022">
        <w:rPr>
          <w:rFonts w:cstheme="minorHAnsi"/>
          <w:bCs/>
        </w:rPr>
        <w:t>,</w:t>
      </w:r>
      <w:r w:rsidR="000338F6" w:rsidRPr="00FA5022">
        <w:rPr>
          <w:rFonts w:cstheme="minorHAnsi"/>
          <w:bCs/>
        </w:rPr>
        <w:t xml:space="preserve"> </w:t>
      </w:r>
      <w:r w:rsidR="007C3769" w:rsidRPr="00FA5022">
        <w:rPr>
          <w:rFonts w:cstheme="minorHAnsi"/>
          <w:bCs/>
        </w:rPr>
        <w:t xml:space="preserve">and medical </w:t>
      </w:r>
      <w:r w:rsidR="001E4ABB" w:rsidRPr="00FA5022">
        <w:rPr>
          <w:rFonts w:cstheme="minorHAnsi"/>
          <w:bCs/>
        </w:rPr>
        <w:t xml:space="preserve">insurance </w:t>
      </w:r>
      <w:r w:rsidR="007C3769" w:rsidRPr="00FA5022">
        <w:rPr>
          <w:rFonts w:cstheme="minorHAnsi"/>
          <w:bCs/>
        </w:rPr>
        <w:t>that wo</w:t>
      </w:r>
      <w:r w:rsidR="00AE3D26">
        <w:rPr>
          <w:rFonts w:cstheme="minorHAnsi"/>
          <w:bCs/>
        </w:rPr>
        <w:t>u</w:t>
      </w:r>
      <w:r w:rsidR="007C3769" w:rsidRPr="00FA5022">
        <w:rPr>
          <w:rFonts w:cstheme="minorHAnsi"/>
          <w:bCs/>
        </w:rPr>
        <w:t>ld facili</w:t>
      </w:r>
      <w:r w:rsidR="00AE3D26">
        <w:rPr>
          <w:rFonts w:cstheme="minorHAnsi"/>
          <w:bCs/>
        </w:rPr>
        <w:t xml:space="preserve">tate </w:t>
      </w:r>
      <w:r w:rsidR="00F458F7" w:rsidRPr="00FA5022">
        <w:rPr>
          <w:rFonts w:cstheme="minorHAnsi"/>
          <w:bCs/>
        </w:rPr>
        <w:t>acces</w:t>
      </w:r>
      <w:r w:rsidR="000338F6" w:rsidRPr="00FA5022">
        <w:rPr>
          <w:rFonts w:cstheme="minorHAnsi"/>
          <w:bCs/>
        </w:rPr>
        <w:t>s</w:t>
      </w:r>
      <w:r w:rsidR="00AE3D26">
        <w:rPr>
          <w:rFonts w:cstheme="minorHAnsi"/>
          <w:bCs/>
        </w:rPr>
        <w:t xml:space="preserve"> to health care. </w:t>
      </w:r>
      <w:r w:rsidR="00164176" w:rsidRPr="00FA5022">
        <w:rPr>
          <w:rFonts w:cstheme="minorHAnsi"/>
          <w:bCs/>
        </w:rPr>
        <w:t xml:space="preserve"> </w:t>
      </w:r>
      <w:r w:rsidR="00F727D7" w:rsidRPr="00663E67">
        <w:rPr>
          <w:rFonts w:cstheme="minorHAnsi"/>
          <w:bCs/>
        </w:rPr>
        <w:t xml:space="preserve">We </w:t>
      </w:r>
      <w:r w:rsidR="00AE3D26" w:rsidRPr="00663E67">
        <w:rPr>
          <w:rFonts w:cstheme="minorHAnsi"/>
          <w:bCs/>
        </w:rPr>
        <w:t>are likewise</w:t>
      </w:r>
      <w:r w:rsidR="00F727D7" w:rsidRPr="00663E67">
        <w:rPr>
          <w:rFonts w:cstheme="minorHAnsi"/>
          <w:bCs/>
        </w:rPr>
        <w:t xml:space="preserve"> missing information on other </w:t>
      </w:r>
      <w:r w:rsidR="000338F6" w:rsidRPr="00663E67">
        <w:rPr>
          <w:rFonts w:cstheme="minorHAnsi"/>
          <w:bCs/>
        </w:rPr>
        <w:t>work-re</w:t>
      </w:r>
      <w:r w:rsidR="00A638EF" w:rsidRPr="00663E67">
        <w:rPr>
          <w:rFonts w:cstheme="minorHAnsi"/>
          <w:bCs/>
        </w:rPr>
        <w:t>la</w:t>
      </w:r>
      <w:r w:rsidR="000338F6" w:rsidRPr="00663E67">
        <w:rPr>
          <w:rFonts w:cstheme="minorHAnsi"/>
          <w:bCs/>
        </w:rPr>
        <w:t>ted factors</w:t>
      </w:r>
      <w:r w:rsidR="00AE3D26" w:rsidRPr="00663E67">
        <w:rPr>
          <w:rFonts w:cstheme="minorHAnsi"/>
          <w:bCs/>
        </w:rPr>
        <w:t>,</w:t>
      </w:r>
      <w:r w:rsidR="00F727D7" w:rsidRPr="00663E67">
        <w:rPr>
          <w:rFonts w:cstheme="minorHAnsi"/>
          <w:bCs/>
        </w:rPr>
        <w:t xml:space="preserve"> </w:t>
      </w:r>
      <w:r w:rsidR="00AE3D26" w:rsidRPr="00663E67">
        <w:rPr>
          <w:rFonts w:cstheme="minorHAnsi"/>
          <w:bCs/>
        </w:rPr>
        <w:t>i</w:t>
      </w:r>
      <w:r w:rsidR="00F727D7" w:rsidRPr="00663E67">
        <w:rPr>
          <w:rFonts w:cstheme="minorHAnsi"/>
          <w:bCs/>
        </w:rPr>
        <w:t xml:space="preserve">ncluding </w:t>
      </w:r>
      <w:r w:rsidR="002A6D47" w:rsidRPr="00663E67">
        <w:rPr>
          <w:rFonts w:cstheme="minorHAnsi"/>
          <w:bCs/>
        </w:rPr>
        <w:t xml:space="preserve">shared </w:t>
      </w:r>
      <w:r w:rsidR="001E4ABB" w:rsidRPr="00663E67">
        <w:rPr>
          <w:rFonts w:cstheme="minorHAnsi"/>
          <w:bCs/>
        </w:rPr>
        <w:t>housing for workers such as mi</w:t>
      </w:r>
      <w:r w:rsidR="001B61B5" w:rsidRPr="00663E67">
        <w:rPr>
          <w:rFonts w:cstheme="minorHAnsi"/>
          <w:bCs/>
        </w:rPr>
        <w:t>g</w:t>
      </w:r>
      <w:r w:rsidR="001E4ABB" w:rsidRPr="00663E67">
        <w:rPr>
          <w:rFonts w:cstheme="minorHAnsi"/>
          <w:bCs/>
        </w:rPr>
        <w:t>rant</w:t>
      </w:r>
      <w:r w:rsidR="000338F6" w:rsidRPr="00663E67">
        <w:rPr>
          <w:rFonts w:cstheme="minorHAnsi"/>
          <w:bCs/>
        </w:rPr>
        <w:t xml:space="preserve"> </w:t>
      </w:r>
      <w:r w:rsidR="001E4ABB" w:rsidRPr="00663E67">
        <w:rPr>
          <w:rFonts w:cstheme="minorHAnsi"/>
          <w:bCs/>
        </w:rPr>
        <w:t xml:space="preserve">labor </w:t>
      </w:r>
      <w:r w:rsidR="00257C15" w:rsidRPr="00663E67">
        <w:rPr>
          <w:rFonts w:cstheme="minorHAnsi"/>
          <w:bCs/>
        </w:rPr>
        <w:t>camps, commuting</w:t>
      </w:r>
      <w:r w:rsidR="006A1719" w:rsidRPr="00663E67">
        <w:rPr>
          <w:rFonts w:cstheme="minorHAnsi"/>
          <w:bCs/>
        </w:rPr>
        <w:t xml:space="preserve"> with co</w:t>
      </w:r>
      <w:r w:rsidR="0007597C" w:rsidRPr="00663E67">
        <w:rPr>
          <w:rFonts w:cstheme="minorHAnsi"/>
          <w:bCs/>
        </w:rPr>
        <w:t>-</w:t>
      </w:r>
      <w:r w:rsidR="006A1719" w:rsidRPr="00663E67">
        <w:rPr>
          <w:rFonts w:cstheme="minorHAnsi"/>
          <w:bCs/>
        </w:rPr>
        <w:t>workers</w:t>
      </w:r>
      <w:r w:rsidR="000338F6" w:rsidRPr="00663E67">
        <w:rPr>
          <w:rFonts w:cstheme="minorHAnsi"/>
          <w:bCs/>
        </w:rPr>
        <w:t xml:space="preserve">, and </w:t>
      </w:r>
      <w:r w:rsidR="00AE3D26" w:rsidRPr="00663E67">
        <w:rPr>
          <w:rFonts w:cstheme="minorHAnsi"/>
          <w:bCs/>
        </w:rPr>
        <w:t xml:space="preserve">the </w:t>
      </w:r>
      <w:r w:rsidR="000338F6" w:rsidRPr="00663E67">
        <w:rPr>
          <w:rFonts w:cstheme="minorHAnsi"/>
          <w:bCs/>
        </w:rPr>
        <w:t xml:space="preserve">need to use public transportation to get to work. </w:t>
      </w:r>
      <w:r w:rsidR="00A268F3" w:rsidRPr="00663E67">
        <w:rPr>
          <w:rFonts w:cstheme="minorHAnsi"/>
          <w:bCs/>
        </w:rPr>
        <w:t xml:space="preserve"> The emerging literature on risk of COVID-19 among migrant farm workers</w:t>
      </w:r>
      <w:r w:rsidR="008411D3" w:rsidRPr="00663E67">
        <w:rPr>
          <w:rFonts w:cstheme="minorHAnsi"/>
          <w:bCs/>
        </w:rPr>
        <w:t xml:space="preserve"> </w:t>
      </w:r>
      <w:r w:rsidR="00A268F3" w:rsidRPr="00663E67">
        <w:rPr>
          <w:rFonts w:cstheme="minorHAnsi"/>
          <w:bCs/>
        </w:rPr>
        <w:t xml:space="preserve">underscores the complex interplay of multiple </w:t>
      </w:r>
      <w:r w:rsidR="00B625AB" w:rsidRPr="00A2143C">
        <w:rPr>
          <w:rFonts w:cstheme="minorHAnsi"/>
          <w:bCs/>
        </w:rPr>
        <w:t xml:space="preserve">workplace and other </w:t>
      </w:r>
      <w:r w:rsidR="00A268F3" w:rsidRPr="00663E67">
        <w:rPr>
          <w:rFonts w:cstheme="minorHAnsi"/>
          <w:bCs/>
        </w:rPr>
        <w:t>work-related factors that influence risk of infection</w:t>
      </w:r>
      <w:r w:rsidR="00453D38" w:rsidRPr="00663E67">
        <w:rPr>
          <w:rFonts w:cstheme="minorHAnsi"/>
          <w:bCs/>
        </w:rPr>
        <w:t>.</w:t>
      </w:r>
      <w:r w:rsidR="00722971" w:rsidRPr="00663E67">
        <w:rPr>
          <w:rFonts w:cstheme="minorHAnsi"/>
          <w:bCs/>
        </w:rPr>
        <w:fldChar w:fldCharType="begin"/>
      </w:r>
      <w:r w:rsidR="00722971" w:rsidRPr="00663E67">
        <w:rPr>
          <w:rFonts w:cstheme="minorHAnsi"/>
          <w:bCs/>
        </w:rPr>
        <w:instrText xml:space="preserve"> ADDIN EN.CITE &lt;EndNote&gt;&lt;Cite&gt;&lt;Author&gt;Washington State Department of Labor &amp;amp; Industries &lt;/Author&gt;&lt;Year&gt;2020&lt;/Year&gt;&lt;RecNum&gt;18&lt;/RecNum&gt;&lt;DisplayText&gt;[27, 28]&lt;/DisplayText&gt;&lt;record&gt;&lt;rec-number&gt;18&lt;/rec-number&gt;&lt;foreign-keys&gt;&lt;key app="EN" db-id="fev0zvzp3deftke0v2250x5xfrd59szftaet" timestamp="1613250495"&gt;18&lt;/key&gt;&lt;/foreign-keys&gt;&lt;ref-type name="Press Release"&gt;63&lt;/ref-type&gt;&lt;contributors&gt;&lt;authors&gt;&lt;author&gt;Washington State Department of Labor &amp;amp; Industries ,&lt;/author&gt;&lt;/authors&gt;&lt;/contributors&gt;&lt;titles&gt;&lt;title&gt;More than 20 farms in Washington cited for coronavirus violations since March (#20-044)&lt;/title&gt;&lt;/titles&gt;&lt;dates&gt;&lt;year&gt;2020&lt;/year&gt;&lt;/dates&gt;&lt;pub-location&gt;Tumwater, WA&lt;/pub-location&gt;&lt;publisher&gt;Washington State Department of Labor &amp;amp; Industries&lt;/publisher&gt;&lt;urls&gt;&lt;/urls&gt;&lt;/record&gt;&lt;/Cite&gt;&lt;Cite&gt;&lt;Author&gt;Handal&lt;/Author&gt;&lt;Year&gt;2020&lt;/Year&gt;&lt;RecNum&gt;35&lt;/RecNum&gt;&lt;record&gt;&lt;rec-number&gt;35&lt;/rec-number&gt;&lt;foreign-keys&gt;&lt;key app="EN" db-id="fev0zvzp3deftke0v2250x5xfrd59szftaet" timestamp="1616629389"&gt;35&lt;/key&gt;&lt;/foreign-keys&gt;&lt;ref-type name="Generic"&gt;13&lt;/ref-type&gt;&lt;contributors&gt;&lt;authors&gt;&lt;author&gt;Handal, Alexis J&lt;/author&gt;&lt;author&gt;Iglesias-Ríos, Lisbeth&lt;/author&gt;&lt;author&gt;Fleming, Paul J&lt;/author&gt;&lt;author&gt;Valentín-Cortés, Mislael A&lt;/author&gt;&lt;author&gt;O’Neill, Marie S&lt;/author&gt;&lt;/authors&gt;&lt;/contributors&gt;&lt;titles&gt;&lt;title&gt;“Essential” but Expendable: Farmworkers During the COVID-19 Pandemic—The Michigan Farmworker Project&lt;/title&gt;&lt;/titles&gt;&lt;dates&gt;&lt;year&gt;2020&lt;/year&gt;&lt;/dates&gt;&lt;publisher&gt;American Public Health Association&lt;/publisher&gt;&lt;isbn&gt;1541-0048&lt;/isbn&gt;&lt;urls&gt;&lt;/urls&gt;&lt;/record&gt;&lt;/Cite&gt;&lt;/EndNote&gt;</w:instrText>
      </w:r>
      <w:r w:rsidR="00722971" w:rsidRPr="00663E67">
        <w:rPr>
          <w:rFonts w:cstheme="minorHAnsi"/>
          <w:bCs/>
        </w:rPr>
        <w:fldChar w:fldCharType="separate"/>
      </w:r>
      <w:r w:rsidR="00722971" w:rsidRPr="00663E67">
        <w:rPr>
          <w:rFonts w:cstheme="minorHAnsi"/>
          <w:bCs/>
          <w:noProof/>
        </w:rPr>
        <w:t>[27, 28]</w:t>
      </w:r>
      <w:r w:rsidR="00722971" w:rsidRPr="00663E67">
        <w:rPr>
          <w:rFonts w:cstheme="minorHAnsi"/>
          <w:bCs/>
        </w:rPr>
        <w:fldChar w:fldCharType="end"/>
      </w:r>
    </w:p>
    <w:p w14:paraId="1CCAB3CD" w14:textId="2A79AC3B" w:rsidR="00316633" w:rsidRDefault="001B61B5" w:rsidP="007F5CD1">
      <w:pPr>
        <w:rPr>
          <w:rFonts w:cstheme="minorHAnsi"/>
          <w:bCs/>
        </w:rPr>
      </w:pPr>
      <w:r w:rsidRPr="000C6821">
        <w:rPr>
          <w:rFonts w:cstheme="minorHAnsi"/>
          <w:bCs/>
        </w:rPr>
        <w:t>Our approach</w:t>
      </w:r>
      <w:r w:rsidR="00B625AB">
        <w:rPr>
          <w:rFonts w:cstheme="minorHAnsi"/>
          <w:bCs/>
        </w:rPr>
        <w:t xml:space="preserve">, </w:t>
      </w:r>
      <w:r w:rsidRPr="000C6821">
        <w:rPr>
          <w:rFonts w:cstheme="minorHAnsi"/>
          <w:bCs/>
        </w:rPr>
        <w:t>focuse</w:t>
      </w:r>
      <w:r w:rsidR="008D531E" w:rsidRPr="000C6821">
        <w:rPr>
          <w:rFonts w:cstheme="minorHAnsi"/>
          <w:bCs/>
        </w:rPr>
        <w:t>d</w:t>
      </w:r>
      <w:r w:rsidRPr="000C6821">
        <w:rPr>
          <w:rFonts w:cstheme="minorHAnsi"/>
          <w:bCs/>
        </w:rPr>
        <w:t xml:space="preserve"> on exposure </w:t>
      </w:r>
      <w:r w:rsidRPr="001B153C">
        <w:rPr>
          <w:rFonts w:cstheme="minorHAnsi"/>
          <w:bCs/>
          <w:i/>
        </w:rPr>
        <w:t>in</w:t>
      </w:r>
      <w:r w:rsidR="001B153C">
        <w:rPr>
          <w:rFonts w:cstheme="minorHAnsi"/>
          <w:bCs/>
        </w:rPr>
        <w:t xml:space="preserve"> </w:t>
      </w:r>
      <w:r w:rsidRPr="001B153C">
        <w:rPr>
          <w:rFonts w:cstheme="minorHAnsi"/>
          <w:bCs/>
        </w:rPr>
        <w:t>the</w:t>
      </w:r>
      <w:r w:rsidRPr="000C6821">
        <w:rPr>
          <w:rFonts w:cstheme="minorHAnsi"/>
          <w:bCs/>
        </w:rPr>
        <w:t xml:space="preserve"> workplace</w:t>
      </w:r>
      <w:r w:rsidR="00B625AB">
        <w:rPr>
          <w:rFonts w:cstheme="minorHAnsi"/>
          <w:bCs/>
        </w:rPr>
        <w:t xml:space="preserve">, </w:t>
      </w:r>
      <w:r w:rsidR="00164176">
        <w:rPr>
          <w:rFonts w:cstheme="minorHAnsi"/>
          <w:bCs/>
        </w:rPr>
        <w:t>a</w:t>
      </w:r>
      <w:r w:rsidR="00B625AB">
        <w:rPr>
          <w:rFonts w:cstheme="minorHAnsi"/>
        </w:rPr>
        <w:t xml:space="preserve">lso </w:t>
      </w:r>
      <w:r w:rsidR="00164176" w:rsidRPr="000C6821">
        <w:rPr>
          <w:rFonts w:cstheme="minorHAnsi"/>
        </w:rPr>
        <w:t xml:space="preserve">does not take into account </w:t>
      </w:r>
      <w:r w:rsidRPr="000C6821">
        <w:rPr>
          <w:rFonts w:cstheme="minorHAnsi"/>
          <w:bCs/>
        </w:rPr>
        <w:t>wh</w:t>
      </w:r>
      <w:r w:rsidR="00161425">
        <w:rPr>
          <w:rFonts w:cstheme="minorHAnsi"/>
          <w:bCs/>
        </w:rPr>
        <w:t>e</w:t>
      </w:r>
      <w:r w:rsidRPr="000C6821">
        <w:rPr>
          <w:rFonts w:cstheme="minorHAnsi"/>
          <w:bCs/>
        </w:rPr>
        <w:t>ther one needs to be in the workplace in order to carry out job tasks</w:t>
      </w:r>
      <w:r w:rsidR="00AE3D26">
        <w:rPr>
          <w:rFonts w:cstheme="minorHAnsi"/>
          <w:bCs/>
        </w:rPr>
        <w:t>.</w:t>
      </w:r>
      <w:r w:rsidRPr="000C6821">
        <w:rPr>
          <w:rFonts w:cstheme="minorHAnsi"/>
          <w:bCs/>
        </w:rPr>
        <w:t xml:space="preserve"> Several res</w:t>
      </w:r>
      <w:r w:rsidR="00F727D7">
        <w:rPr>
          <w:rFonts w:cstheme="minorHAnsi"/>
          <w:bCs/>
        </w:rPr>
        <w:t xml:space="preserve">earchers </w:t>
      </w:r>
      <w:r w:rsidRPr="000C6821">
        <w:rPr>
          <w:rFonts w:cstheme="minorHAnsi"/>
          <w:bCs/>
        </w:rPr>
        <w:t>have worked to identify jobs which can and c</w:t>
      </w:r>
      <w:r w:rsidR="006A1719">
        <w:rPr>
          <w:rFonts w:cstheme="minorHAnsi"/>
          <w:bCs/>
        </w:rPr>
        <w:t>a</w:t>
      </w:r>
      <w:r w:rsidRPr="000C6821">
        <w:rPr>
          <w:rFonts w:cstheme="minorHAnsi"/>
          <w:bCs/>
        </w:rPr>
        <w:t>nnot be done remotely, infor</w:t>
      </w:r>
      <w:r w:rsidR="006A1719">
        <w:rPr>
          <w:rFonts w:cstheme="minorHAnsi"/>
          <w:bCs/>
        </w:rPr>
        <w:t>ma</w:t>
      </w:r>
      <w:r w:rsidRPr="000C6821">
        <w:rPr>
          <w:rFonts w:cstheme="minorHAnsi"/>
          <w:bCs/>
        </w:rPr>
        <w:t xml:space="preserve">tion which might be combined </w:t>
      </w:r>
      <w:r w:rsidR="006A1719">
        <w:rPr>
          <w:rFonts w:cstheme="minorHAnsi"/>
          <w:bCs/>
        </w:rPr>
        <w:t>with</w:t>
      </w:r>
      <w:r w:rsidRPr="000C6821">
        <w:rPr>
          <w:rFonts w:cstheme="minorHAnsi"/>
          <w:bCs/>
        </w:rPr>
        <w:t xml:space="preserve"> information in the </w:t>
      </w:r>
      <w:r w:rsidR="00F51D29" w:rsidRPr="000C6821">
        <w:rPr>
          <w:rFonts w:cstheme="minorHAnsi"/>
          <w:bCs/>
        </w:rPr>
        <w:t>S</w:t>
      </w:r>
      <w:r w:rsidR="00F51D29">
        <w:rPr>
          <w:rFonts w:cstheme="minorHAnsi"/>
          <w:bCs/>
        </w:rPr>
        <w:t xml:space="preserve">OEM </w:t>
      </w:r>
      <w:r w:rsidR="00F51D29" w:rsidRPr="000C6821">
        <w:rPr>
          <w:rFonts w:cstheme="minorHAnsi"/>
          <w:bCs/>
        </w:rPr>
        <w:t>to</w:t>
      </w:r>
      <w:r w:rsidRPr="000C6821">
        <w:rPr>
          <w:rFonts w:cstheme="minorHAnsi"/>
          <w:bCs/>
        </w:rPr>
        <w:t xml:space="preserve"> </w:t>
      </w:r>
      <w:r w:rsidR="008D531E" w:rsidRPr="000C6821">
        <w:rPr>
          <w:rFonts w:cstheme="minorHAnsi"/>
          <w:bCs/>
        </w:rPr>
        <w:t xml:space="preserve">refine </w:t>
      </w:r>
      <w:r w:rsidR="0007597C">
        <w:rPr>
          <w:rFonts w:cstheme="minorHAnsi"/>
          <w:bCs/>
        </w:rPr>
        <w:t>prevention priorities</w:t>
      </w:r>
      <w:r w:rsidR="00007CCB">
        <w:rPr>
          <w:rFonts w:cstheme="minorHAnsi"/>
          <w:bCs/>
        </w:rPr>
        <w:t>.</w:t>
      </w:r>
      <w:r w:rsidR="008D531E" w:rsidRPr="000C6821">
        <w:rPr>
          <w:rFonts w:cstheme="minorHAnsi"/>
          <w:bCs/>
        </w:rPr>
        <w:t xml:space="preserve"> </w:t>
      </w:r>
      <w:r w:rsidR="00005D3B">
        <w:rPr>
          <w:rFonts w:cstheme="minorHAnsi"/>
          <w:bCs/>
        </w:rPr>
        <w:fldChar w:fldCharType="begin"/>
      </w:r>
      <w:r w:rsidR="00722971">
        <w:rPr>
          <w:rFonts w:cstheme="minorHAnsi"/>
          <w:bCs/>
        </w:rPr>
        <w:instrText xml:space="preserve"> ADDIN EN.CITE &lt;EndNote&gt;&lt;Cite&gt;&lt;Author&gt;Dingel&lt;/Author&gt;&lt;Year&gt;2020&lt;/Year&gt;&lt;RecNum&gt;31&lt;/RecNum&gt;&lt;DisplayText&gt;[29, 30]&lt;/DisplayText&gt;&lt;record&gt;&lt;rec-number&gt;31&lt;/rec-number&gt;&lt;foreign-keys&gt;&lt;key app="EN" db-id="fev0zvzp3deftke0v2250x5xfrd59szftaet" timestamp="1616628765"&gt;31&lt;/key&gt;&lt;/foreign-keys&gt;&lt;ref-type name="Journal Article"&gt;17&lt;/ref-type&gt;&lt;contributors&gt;&lt;authors&gt;&lt;author&gt;Dingel, Jonathan I&lt;/author&gt;&lt;author&gt;Neiman, Brent&lt;/author&gt;&lt;/authors&gt;&lt;/contributors&gt;&lt;titles&gt;&lt;title&gt;How many jobs can be done at home?&lt;/title&gt;&lt;secondary-title&gt;Journal of Public Economics&lt;/secondary-title&gt;&lt;/titles&gt;&lt;periodical&gt;&lt;full-title&gt;Journal of Public Economics&lt;/full-title&gt;&lt;/periodical&gt;&lt;pages&gt;104235&lt;/pages&gt;&lt;volume&gt;189&lt;/volume&gt;&lt;dates&gt;&lt;year&gt;2020&lt;/year&gt;&lt;/dates&gt;&lt;isbn&gt;0047-2727&lt;/isbn&gt;&lt;urls&gt;&lt;/urls&gt;&lt;/record&gt;&lt;/Cite&gt;&lt;Cite&gt;&lt;Author&gt;Baker&lt;/Author&gt;&lt;Year&gt;2020&lt;/Year&gt;&lt;RecNum&gt;32&lt;/RecNum&gt;&lt;record&gt;&lt;rec-number&gt;32&lt;/rec-number&gt;&lt;foreign-keys&gt;&lt;key app="EN" db-id="fev0zvzp3deftke0v2250x5xfrd59szftaet" timestamp="1616629007"&gt;32&lt;/key&gt;&lt;/foreign-keys&gt;&lt;ref-type name="Journal Article"&gt;17&lt;/ref-type&gt;&lt;contributors&gt;&lt;authors&gt;&lt;author&gt;Baker, Marissa G&lt;/author&gt;&lt;/authors&gt;&lt;/contributors&gt;&lt;titles&gt;&lt;title&gt;Nonrelocatable occupations at increased risk during pandemics: United States, 2018&lt;/title&gt;&lt;secondary-title&gt;American journal of public health&lt;/secondary-title&gt;&lt;/titles&gt;&lt;periodical&gt;&lt;full-title&gt;American journal of public health&lt;/full-title&gt;&lt;/periodical&gt;&lt;pages&gt;1126-1132&lt;/pages&gt;&lt;volume&gt;110&lt;/volume&gt;&lt;number&gt;8&lt;/number&gt;&lt;dates&gt;&lt;year&gt;2020&lt;/year&gt;&lt;/dates&gt;&lt;isbn&gt;1541-0048&lt;/isbn&gt;&lt;urls&gt;&lt;/urls&gt;&lt;/record&gt;&lt;/Cite&gt;&lt;/EndNote&gt;</w:instrText>
      </w:r>
      <w:r w:rsidR="00005D3B">
        <w:rPr>
          <w:rFonts w:cstheme="minorHAnsi"/>
          <w:bCs/>
        </w:rPr>
        <w:fldChar w:fldCharType="separate"/>
      </w:r>
      <w:r w:rsidR="00722971">
        <w:rPr>
          <w:rFonts w:cstheme="minorHAnsi"/>
          <w:bCs/>
          <w:noProof/>
        </w:rPr>
        <w:t>[29, 30]</w:t>
      </w:r>
      <w:r w:rsidR="00005D3B">
        <w:rPr>
          <w:rFonts w:cstheme="minorHAnsi"/>
          <w:bCs/>
        </w:rPr>
        <w:fldChar w:fldCharType="end"/>
      </w:r>
    </w:p>
    <w:p w14:paraId="57A8B142" w14:textId="14F17B84" w:rsidR="000A6466" w:rsidRPr="000C6821" w:rsidRDefault="00316633" w:rsidP="007F5CD1">
      <w:pPr>
        <w:rPr>
          <w:rFonts w:cstheme="minorHAnsi"/>
          <w:bCs/>
        </w:rPr>
      </w:pPr>
      <w:r w:rsidRPr="007B0B11">
        <w:rPr>
          <w:rFonts w:cstheme="minorHAnsi"/>
          <w:color w:val="000000"/>
          <w:kern w:val="36"/>
        </w:rPr>
        <w:t xml:space="preserve">Use of job exposure matrices, such as the SOEM, have proved to be a valuable method in occupational epidemiology in the absence of individual exposure data. The limitations of such matrices are also well recognized. </w:t>
      </w:r>
      <w:r w:rsidR="00722971" w:rsidRPr="007B0B11">
        <w:rPr>
          <w:rFonts w:cstheme="minorHAnsi"/>
          <w:color w:val="000000"/>
          <w:kern w:val="36"/>
        </w:rPr>
        <w:fldChar w:fldCharType="begin"/>
      </w:r>
      <w:r w:rsidR="00722971" w:rsidRPr="007B0B11">
        <w:rPr>
          <w:rFonts w:cstheme="minorHAnsi"/>
          <w:color w:val="000000"/>
          <w:kern w:val="36"/>
        </w:rPr>
        <w:instrText xml:space="preserve"> ADDIN EN.CITE &lt;EndNote&gt;&lt;Cite&gt;&lt;Author&gt;Fadel&lt;/Author&gt;&lt;Year&gt;2020&lt;/Year&gt;&lt;RecNum&gt;34&lt;/RecNum&gt;&lt;DisplayText&gt;[31, 32]&lt;/DisplayText&gt;&lt;record&gt;&lt;rec-number&gt;34&lt;/rec-number&gt;&lt;foreign-keys&gt;&lt;key app="EN" db-id="fev0zvzp3deftke0v2250x5xfrd59szftaet" timestamp="1616629157"&gt;34&lt;/key&gt;&lt;/foreign-keys&gt;&lt;ref-type name="Journal Article"&gt;17&lt;/ref-type&gt;&lt;contributors&gt;&lt;authors&gt;&lt;author&gt;Fadel, Marc&lt;/author&gt;&lt;author&gt;Evanoff, Bradley A&lt;/author&gt;&lt;author&gt;Andersen, Johan H&lt;/author&gt;&lt;author&gt;D’errico, Angelo&lt;/author&gt;&lt;author&gt;Dale, Ann Marie&lt;/author&gt;&lt;author&gt;Leclerc, Annette&lt;/author&gt;&lt;author&gt;Descatha, Alexis&lt;/author&gt;&lt;/authors&gt;&lt;/contributors&gt;&lt;titles&gt;&lt;title&gt;Not just a research method: If used with caution, can job-exposure matrices be a useful tool in the practice of occupational medicine and public health?&lt;/title&gt;&lt;secondary-title&gt;Scandinavian journal of work, environment &amp;amp; health&lt;/secondary-title&gt;&lt;/titles&gt;&lt;periodical&gt;&lt;full-title&gt;Scandinavian journal of work, environment &amp;amp; health&lt;/full-title&gt;&lt;/periodical&gt;&lt;pages&gt;552-553&lt;/pages&gt;&lt;volume&gt;46&lt;/volume&gt;&lt;number&gt;5&lt;/number&gt;&lt;dates&gt;&lt;year&gt;2020&lt;/year&gt;&lt;/dates&gt;&lt;isbn&gt;0355-3140&lt;/isbn&gt;&lt;urls&gt;&lt;/urls&gt;&lt;/record&gt;&lt;/Cite&gt;&lt;Cite&gt;&lt;Author&gt;Peters&lt;/Author&gt;&lt;Year&gt;2020&lt;/Year&gt;&lt;RecNum&gt;33&lt;/RecNum&gt;&lt;record&gt;&lt;rec-number&gt;33&lt;/rec-number&gt;&lt;foreign-keys&gt;&lt;key app="EN" db-id="fev0zvzp3deftke0v2250x5xfrd59szftaet" timestamp="1616629121"&gt;33&lt;/key&gt;&lt;/foreign-keys&gt;&lt;ref-type name="Journal Article"&gt;17&lt;/ref-type&gt;&lt;contributors&gt;&lt;authors&gt;&lt;author&gt;Peters, Susan&lt;/author&gt;&lt;/authors&gt;&lt;/contributors&gt;&lt;titles&gt;&lt;title&gt;Although a valuable method in occupational epidemiology, job-exposure matrices are no magic fix&lt;/title&gt;&lt;secondary-title&gt;Scandinavian journal of work, environment &amp;amp; health&lt;/secondary-title&gt;&lt;/titles&gt;&lt;periodical&gt;&lt;full-title&gt;Scandinavian journal of work, environment &amp;amp; health&lt;/full-title&gt;&lt;/periodical&gt;&lt;pages&gt;231-234&lt;/pages&gt;&lt;volume&gt;46&lt;/volume&gt;&lt;number&gt;3&lt;/number&gt;&lt;dates&gt;&lt;year&gt;2020&lt;/year&gt;&lt;/dates&gt;&lt;isbn&gt;0355-3140&lt;/isbn&gt;&lt;urls&gt;&lt;/urls&gt;&lt;/record&gt;&lt;/Cite&gt;&lt;/EndNote&gt;</w:instrText>
      </w:r>
      <w:r w:rsidR="00722971" w:rsidRPr="007B0B11">
        <w:rPr>
          <w:rFonts w:cstheme="minorHAnsi"/>
          <w:color w:val="000000"/>
          <w:kern w:val="36"/>
        </w:rPr>
        <w:fldChar w:fldCharType="separate"/>
      </w:r>
      <w:r w:rsidR="00722971" w:rsidRPr="007B0B11">
        <w:rPr>
          <w:rFonts w:cstheme="minorHAnsi"/>
          <w:noProof/>
          <w:color w:val="000000"/>
          <w:kern w:val="36"/>
        </w:rPr>
        <w:t>[31, 32]</w:t>
      </w:r>
      <w:r w:rsidR="00722971" w:rsidRPr="007B0B11">
        <w:rPr>
          <w:rFonts w:cstheme="minorHAnsi"/>
          <w:color w:val="000000"/>
          <w:kern w:val="36"/>
        </w:rPr>
        <w:fldChar w:fldCharType="end"/>
      </w:r>
      <w:r w:rsidR="00722971" w:rsidRPr="007B0B11">
        <w:rPr>
          <w:rFonts w:cstheme="minorHAnsi"/>
          <w:color w:val="000000"/>
          <w:kern w:val="36"/>
        </w:rPr>
        <w:t xml:space="preserve">  </w:t>
      </w:r>
      <w:r w:rsidRPr="007B0B11">
        <w:rPr>
          <w:rFonts w:cstheme="minorHAnsi"/>
          <w:color w:val="000000"/>
          <w:kern w:val="36"/>
        </w:rPr>
        <w:t xml:space="preserve">They present an average level of exposure within a job at the expense of inter-individual variability and the limitations of data sources on exposure need to be taken into consideration. </w:t>
      </w:r>
    </w:p>
    <w:p w14:paraId="1AD42F56" w14:textId="12CAD2C5" w:rsidR="00007CCB" w:rsidRDefault="00316633" w:rsidP="00FA39A7">
      <w:pPr>
        <w:rPr>
          <w:rFonts w:cstheme="minorHAnsi"/>
        </w:rPr>
      </w:pPr>
      <w:r>
        <w:rPr>
          <w:rFonts w:cstheme="minorHAnsi"/>
        </w:rPr>
        <w:t>In conclusion, a</w:t>
      </w:r>
      <w:r w:rsidR="0007597C" w:rsidRPr="00E62BD0">
        <w:rPr>
          <w:rFonts w:cstheme="minorHAnsi"/>
        </w:rPr>
        <w:t>lbeit limited,</w:t>
      </w:r>
      <w:r w:rsidR="006C463A">
        <w:rPr>
          <w:rFonts w:cstheme="minorHAnsi"/>
        </w:rPr>
        <w:t xml:space="preserve"> </w:t>
      </w:r>
      <w:r w:rsidR="00FA39A7" w:rsidRPr="00E62BD0">
        <w:rPr>
          <w:rFonts w:cstheme="minorHAnsi"/>
        </w:rPr>
        <w:t xml:space="preserve">the </w:t>
      </w:r>
      <w:r w:rsidR="00E83A35" w:rsidRPr="00E62BD0">
        <w:rPr>
          <w:rFonts w:cstheme="minorHAnsi"/>
        </w:rPr>
        <w:t>S</w:t>
      </w:r>
      <w:r w:rsidR="00E83A35">
        <w:rPr>
          <w:rFonts w:cstheme="minorHAnsi"/>
        </w:rPr>
        <w:t>OEM</w:t>
      </w:r>
      <w:r w:rsidR="00E83A35" w:rsidRPr="00E62BD0">
        <w:rPr>
          <w:rFonts w:cstheme="minorHAnsi"/>
        </w:rPr>
        <w:t xml:space="preserve"> </w:t>
      </w:r>
      <w:r w:rsidR="00FA39A7" w:rsidRPr="00E62BD0">
        <w:rPr>
          <w:rFonts w:cstheme="minorHAnsi"/>
        </w:rPr>
        <w:t xml:space="preserve">provides baseline information </w:t>
      </w:r>
      <w:r w:rsidR="00AE3D26" w:rsidRPr="00E62BD0">
        <w:rPr>
          <w:rFonts w:cstheme="minorHAnsi"/>
        </w:rPr>
        <w:t xml:space="preserve">on </w:t>
      </w:r>
      <w:r w:rsidR="005164B5" w:rsidRPr="00E62BD0">
        <w:rPr>
          <w:rFonts w:cstheme="minorHAnsi"/>
        </w:rPr>
        <w:t xml:space="preserve">the potential risk of </w:t>
      </w:r>
      <w:r w:rsidR="00AE3D26" w:rsidRPr="00E62BD0">
        <w:rPr>
          <w:rFonts w:cstheme="minorHAnsi"/>
        </w:rPr>
        <w:t xml:space="preserve">exposure </w:t>
      </w:r>
      <w:r w:rsidR="005164B5" w:rsidRPr="00E62BD0">
        <w:rPr>
          <w:rFonts w:cstheme="minorHAnsi"/>
        </w:rPr>
        <w:t>to SARS-CoV-2</w:t>
      </w:r>
      <w:r w:rsidR="00E510A1">
        <w:rPr>
          <w:rFonts w:cstheme="minorHAnsi"/>
        </w:rPr>
        <w:t xml:space="preserve"> </w:t>
      </w:r>
      <w:r w:rsidR="00E510A1" w:rsidRPr="00AA5FF2">
        <w:rPr>
          <w:rFonts w:cstheme="minorHAnsi"/>
        </w:rPr>
        <w:t>at work</w:t>
      </w:r>
      <w:r w:rsidR="005164B5" w:rsidRPr="00AA5FF2">
        <w:rPr>
          <w:rFonts w:cstheme="minorHAnsi"/>
        </w:rPr>
        <w:t xml:space="preserve"> </w:t>
      </w:r>
      <w:r w:rsidR="00AE3D26" w:rsidRPr="00AA5FF2">
        <w:rPr>
          <w:rFonts w:cstheme="minorHAnsi"/>
        </w:rPr>
        <w:t>based on three</w:t>
      </w:r>
      <w:r w:rsidR="00AE3D26" w:rsidRPr="00E62BD0">
        <w:rPr>
          <w:rFonts w:cstheme="minorHAnsi"/>
        </w:rPr>
        <w:t xml:space="preserve"> </w:t>
      </w:r>
      <w:r w:rsidR="00FA39A7" w:rsidRPr="00E62BD0">
        <w:rPr>
          <w:rFonts w:cstheme="minorHAnsi"/>
        </w:rPr>
        <w:t xml:space="preserve">key </w:t>
      </w:r>
      <w:r w:rsidR="005164B5" w:rsidRPr="00E62BD0">
        <w:rPr>
          <w:rFonts w:cstheme="minorHAnsi"/>
        </w:rPr>
        <w:t xml:space="preserve">workplace </w:t>
      </w:r>
      <w:r w:rsidR="00106B18">
        <w:rPr>
          <w:rFonts w:cstheme="minorHAnsi"/>
        </w:rPr>
        <w:t xml:space="preserve">risk </w:t>
      </w:r>
      <w:r w:rsidR="00FA39A7" w:rsidRPr="00E62BD0">
        <w:rPr>
          <w:rFonts w:cstheme="minorHAnsi"/>
        </w:rPr>
        <w:t xml:space="preserve">factors </w:t>
      </w:r>
      <w:r w:rsidR="0007597C" w:rsidRPr="00E62BD0">
        <w:rPr>
          <w:rFonts w:cstheme="minorHAnsi"/>
        </w:rPr>
        <w:t xml:space="preserve">for </w:t>
      </w:r>
      <w:r w:rsidR="00F727D7" w:rsidRPr="00E62BD0">
        <w:rPr>
          <w:rFonts w:cstheme="minorHAnsi"/>
        </w:rPr>
        <w:t xml:space="preserve">hundreds </w:t>
      </w:r>
      <w:r w:rsidR="0007597C" w:rsidRPr="00E62BD0">
        <w:rPr>
          <w:rFonts w:cstheme="minorHAnsi"/>
        </w:rPr>
        <w:t>of occupations</w:t>
      </w:r>
      <w:r w:rsidR="00736647" w:rsidRPr="00E62BD0">
        <w:rPr>
          <w:rFonts w:cstheme="minorHAnsi"/>
        </w:rPr>
        <w:t xml:space="preserve"> for use in epidemiological investigation</w:t>
      </w:r>
      <w:r w:rsidR="00305837" w:rsidRPr="00E62BD0">
        <w:rPr>
          <w:rFonts w:cstheme="minorHAnsi"/>
        </w:rPr>
        <w:t>s</w:t>
      </w:r>
      <w:r w:rsidR="00736647" w:rsidRPr="00E62BD0">
        <w:rPr>
          <w:rFonts w:cstheme="minorHAnsi"/>
        </w:rPr>
        <w:t xml:space="preserve"> of COVID-19</w:t>
      </w:r>
      <w:r w:rsidR="007902EA" w:rsidRPr="00E62BD0">
        <w:rPr>
          <w:rFonts w:cstheme="minorHAnsi"/>
        </w:rPr>
        <w:t>.</w:t>
      </w:r>
      <w:r w:rsidR="00E62BD0" w:rsidRPr="00E62BD0">
        <w:rPr>
          <w:rFonts w:cstheme="minorHAnsi"/>
        </w:rPr>
        <w:t xml:space="preserve">  </w:t>
      </w:r>
      <w:r w:rsidR="00736647" w:rsidRPr="00E62BD0">
        <w:rPr>
          <w:rFonts w:cstheme="minorHAnsi"/>
        </w:rPr>
        <w:t xml:space="preserve">The finding </w:t>
      </w:r>
      <w:r w:rsidR="00736647" w:rsidRPr="003B2D3C">
        <w:rPr>
          <w:rFonts w:cstheme="minorHAnsi"/>
        </w:rPr>
        <w:t>that</w:t>
      </w:r>
      <w:r w:rsidR="00586998" w:rsidRPr="003B2D3C">
        <w:rPr>
          <w:rFonts w:cstheme="minorHAnsi"/>
        </w:rPr>
        <w:t xml:space="preserve"> </w:t>
      </w:r>
      <w:r w:rsidR="00007CCB">
        <w:rPr>
          <w:rFonts w:cstheme="minorHAnsi"/>
        </w:rPr>
        <w:t>close to a</w:t>
      </w:r>
      <w:r w:rsidR="00586998" w:rsidRPr="003B2D3C">
        <w:rPr>
          <w:rFonts w:cstheme="minorHAnsi"/>
        </w:rPr>
        <w:t xml:space="preserve"> quarter</w:t>
      </w:r>
      <w:r w:rsidR="00736647" w:rsidRPr="003B2D3C">
        <w:rPr>
          <w:rFonts w:cstheme="minorHAnsi"/>
        </w:rPr>
        <w:t xml:space="preserve"> of working peo</w:t>
      </w:r>
      <w:r w:rsidR="00305837" w:rsidRPr="003B2D3C">
        <w:rPr>
          <w:rFonts w:cstheme="minorHAnsi"/>
        </w:rPr>
        <w:t>ple</w:t>
      </w:r>
      <w:r w:rsidR="00736647" w:rsidRPr="00E62BD0">
        <w:rPr>
          <w:rFonts w:cstheme="minorHAnsi"/>
        </w:rPr>
        <w:t xml:space="preserve"> </w:t>
      </w:r>
      <w:r w:rsidR="008512EC">
        <w:rPr>
          <w:rFonts w:cstheme="minorHAnsi"/>
        </w:rPr>
        <w:t>in non-healthcare occupations</w:t>
      </w:r>
      <w:r w:rsidR="007902EA" w:rsidRPr="00E62BD0">
        <w:rPr>
          <w:rFonts w:cstheme="minorHAnsi"/>
        </w:rPr>
        <w:t xml:space="preserve">, </w:t>
      </w:r>
      <w:r w:rsidR="00736647" w:rsidRPr="00E62BD0">
        <w:rPr>
          <w:rFonts w:cstheme="minorHAnsi"/>
        </w:rPr>
        <w:t xml:space="preserve">if present </w:t>
      </w:r>
      <w:r w:rsidR="00305837" w:rsidRPr="00E62BD0">
        <w:rPr>
          <w:rFonts w:cstheme="minorHAnsi"/>
        </w:rPr>
        <w:t>in the workplac</w:t>
      </w:r>
      <w:r w:rsidR="007902EA" w:rsidRPr="00E62BD0">
        <w:rPr>
          <w:rFonts w:cstheme="minorHAnsi"/>
        </w:rPr>
        <w:t>e,</w:t>
      </w:r>
      <w:r w:rsidR="00305837" w:rsidRPr="004046E6">
        <w:rPr>
          <w:rFonts w:cstheme="minorHAnsi"/>
        </w:rPr>
        <w:t xml:space="preserve"> </w:t>
      </w:r>
      <w:r w:rsidR="007902EA" w:rsidRPr="006C463A">
        <w:rPr>
          <w:rFonts w:cstheme="minorHAnsi"/>
          <w:i/>
        </w:rPr>
        <w:t>work indoors</w:t>
      </w:r>
      <w:r w:rsidR="007902EA" w:rsidRPr="00E62BD0">
        <w:rPr>
          <w:rFonts w:cstheme="minorHAnsi"/>
        </w:rPr>
        <w:t xml:space="preserve">, in </w:t>
      </w:r>
      <w:r w:rsidR="007902EA" w:rsidRPr="00E83A35">
        <w:rPr>
          <w:rFonts w:cstheme="minorHAnsi"/>
          <w:i/>
        </w:rPr>
        <w:t>very close proximity</w:t>
      </w:r>
      <w:r w:rsidR="007902EA" w:rsidRPr="00E62BD0">
        <w:rPr>
          <w:rFonts w:cstheme="minorHAnsi"/>
        </w:rPr>
        <w:t xml:space="preserve"> and are </w:t>
      </w:r>
      <w:r w:rsidR="007902EA" w:rsidRPr="00E62BD0">
        <w:rPr>
          <w:rFonts w:cstheme="minorHAnsi"/>
          <w:i/>
        </w:rPr>
        <w:t>public facing</w:t>
      </w:r>
      <w:r w:rsidR="007902EA" w:rsidRPr="00E62BD0">
        <w:rPr>
          <w:rFonts w:cstheme="minorHAnsi"/>
        </w:rPr>
        <w:t xml:space="preserve"> underscores the importance of improving our understanding of COVID-19 in relation to working conditions.  </w:t>
      </w:r>
      <w:r w:rsidR="00FD1F2F" w:rsidRPr="00E62BD0">
        <w:rPr>
          <w:rFonts w:cstheme="minorHAnsi"/>
        </w:rPr>
        <w:t>Researcher</w:t>
      </w:r>
      <w:r w:rsidR="00870988" w:rsidRPr="00E62BD0">
        <w:rPr>
          <w:rFonts w:cstheme="minorHAnsi"/>
        </w:rPr>
        <w:t>s</w:t>
      </w:r>
      <w:r w:rsidR="00FD1F2F" w:rsidRPr="00E62BD0">
        <w:rPr>
          <w:rFonts w:cstheme="minorHAnsi"/>
        </w:rPr>
        <w:t xml:space="preserve"> </w:t>
      </w:r>
      <w:r w:rsidR="007902EA" w:rsidRPr="00E62BD0">
        <w:rPr>
          <w:rFonts w:cstheme="minorHAnsi"/>
        </w:rPr>
        <w:t>are</w:t>
      </w:r>
      <w:r w:rsidR="00FD1F2F" w:rsidRPr="00E62BD0">
        <w:rPr>
          <w:rFonts w:cstheme="minorHAnsi"/>
        </w:rPr>
        <w:t xml:space="preserve"> encouraged to expand upon this work by exploring </w:t>
      </w:r>
      <w:r w:rsidR="00106B18">
        <w:rPr>
          <w:rFonts w:cstheme="minorHAnsi"/>
        </w:rPr>
        <w:t xml:space="preserve">these and </w:t>
      </w:r>
      <w:r w:rsidR="00FD1F2F" w:rsidRPr="00E62BD0">
        <w:rPr>
          <w:rFonts w:cstheme="minorHAnsi"/>
        </w:rPr>
        <w:t>other risk factors</w:t>
      </w:r>
      <w:r w:rsidR="006C463A">
        <w:rPr>
          <w:rFonts w:cstheme="minorHAnsi"/>
        </w:rPr>
        <w:t>.</w:t>
      </w:r>
      <w:r w:rsidR="00305837" w:rsidRPr="00E62BD0">
        <w:rPr>
          <w:rFonts w:cstheme="minorHAnsi"/>
        </w:rPr>
        <w:t xml:space="preserve"> </w:t>
      </w:r>
      <w:r w:rsidR="00035885" w:rsidRPr="00E62BD0">
        <w:rPr>
          <w:rFonts w:cstheme="minorHAnsi"/>
        </w:rPr>
        <w:t xml:space="preserve">The </w:t>
      </w:r>
      <w:r w:rsidR="0042462C" w:rsidRPr="00E62BD0">
        <w:rPr>
          <w:rFonts w:cstheme="minorHAnsi"/>
        </w:rPr>
        <w:t xml:space="preserve">CSTE Occupational Health Subcommittee welcomes </w:t>
      </w:r>
      <w:r w:rsidR="00035885" w:rsidRPr="00E62BD0">
        <w:rPr>
          <w:rFonts w:cstheme="minorHAnsi"/>
        </w:rPr>
        <w:t xml:space="preserve">feedback from </w:t>
      </w:r>
      <w:r w:rsidR="0042462C" w:rsidRPr="00E62BD0">
        <w:rPr>
          <w:rFonts w:cstheme="minorHAnsi"/>
        </w:rPr>
        <w:t>colleagues</w:t>
      </w:r>
      <w:r w:rsidR="00035885" w:rsidRPr="00E62BD0">
        <w:rPr>
          <w:rFonts w:cstheme="minorHAnsi"/>
        </w:rPr>
        <w:t xml:space="preserve"> about their exp</w:t>
      </w:r>
      <w:r w:rsidR="0042462C" w:rsidRPr="00E62BD0">
        <w:rPr>
          <w:rFonts w:cstheme="minorHAnsi"/>
        </w:rPr>
        <w:t>erience using the S</w:t>
      </w:r>
      <w:r w:rsidR="004046E6">
        <w:rPr>
          <w:rFonts w:cstheme="minorHAnsi"/>
        </w:rPr>
        <w:t>OEM</w:t>
      </w:r>
      <w:r w:rsidR="00035885" w:rsidRPr="00E62BD0">
        <w:rPr>
          <w:rFonts w:cstheme="minorHAnsi"/>
        </w:rPr>
        <w:t xml:space="preserve"> and their findings.</w:t>
      </w:r>
      <w:r w:rsidR="00035885">
        <w:rPr>
          <w:rFonts w:cstheme="minorHAnsi"/>
        </w:rPr>
        <w:t xml:space="preserve"> </w:t>
      </w:r>
      <w:r w:rsidR="00007CCB">
        <w:rPr>
          <w:rFonts w:cstheme="minorHAnsi"/>
        </w:rPr>
        <w:t>(Plea</w:t>
      </w:r>
      <w:r w:rsidR="00246961">
        <w:rPr>
          <w:rFonts w:cstheme="minorHAnsi"/>
        </w:rPr>
        <w:t>s</w:t>
      </w:r>
      <w:r w:rsidR="00007CCB">
        <w:rPr>
          <w:rFonts w:cstheme="minorHAnsi"/>
        </w:rPr>
        <w:t xml:space="preserve">e send comments and questions to </w:t>
      </w:r>
    </w:p>
    <w:p w14:paraId="201CACBF" w14:textId="0F1C30E0" w:rsidR="001C1057" w:rsidRDefault="00007CCB" w:rsidP="00FA39A7">
      <w:pPr>
        <w:rPr>
          <w:rFonts w:cstheme="minorHAnsi"/>
        </w:rPr>
      </w:pPr>
      <w:r>
        <w:rPr>
          <w:rFonts w:cstheme="minorHAnsi"/>
        </w:rPr>
        <w:t>C Lingwall@cste.org.)</w:t>
      </w:r>
    </w:p>
    <w:p w14:paraId="57FEA5D6" w14:textId="26DF7178" w:rsidR="00EE5FA5" w:rsidRDefault="00DA7B75" w:rsidP="0002319C">
      <w:pPr>
        <w:rPr>
          <w:rFonts w:cstheme="minorHAnsi"/>
        </w:rPr>
      </w:pPr>
      <w:r>
        <w:rPr>
          <w:rFonts w:cstheme="minorHAnsi"/>
          <w:noProof/>
        </w:rPr>
        <w:pict w14:anchorId="4C143BE0">
          <v:rect id="_x0000_i1025" style="width:468pt;height:.05pt" o:hralign="center" o:hrstd="t" o:hr="t" fillcolor="#a0a0a0" stroked="f"/>
        </w:pict>
      </w:r>
    </w:p>
    <w:p w14:paraId="226F68BC" w14:textId="478BC483" w:rsidR="00257C15" w:rsidRPr="008E0827" w:rsidRDefault="008C5896" w:rsidP="0002319C">
      <w:pPr>
        <w:rPr>
          <w:rFonts w:ascii="Calibri" w:hAnsi="Calibri" w:cs="Calibri"/>
          <w:color w:val="000000"/>
        </w:rPr>
      </w:pPr>
      <w:r w:rsidRPr="00737464">
        <w:rPr>
          <w:rFonts w:cstheme="minorHAnsi"/>
        </w:rPr>
        <w:t xml:space="preserve">It </w:t>
      </w:r>
      <w:r w:rsidR="00257C15" w:rsidRPr="00737464">
        <w:rPr>
          <w:rFonts w:cstheme="minorHAnsi"/>
        </w:rPr>
        <w:t>should be</w:t>
      </w:r>
      <w:r w:rsidRPr="00737464">
        <w:rPr>
          <w:rFonts w:cstheme="minorHAnsi"/>
        </w:rPr>
        <w:t xml:space="preserve"> noted that the </w:t>
      </w:r>
      <w:r w:rsidR="00737464" w:rsidRPr="00737464">
        <w:rPr>
          <w:rFonts w:ascii="Calibri" w:hAnsi="Calibri" w:cs="Calibri"/>
          <w:bCs/>
          <w:color w:val="000000"/>
        </w:rPr>
        <w:t>SOEM has been developed for population-based epidemiological purposes and is not intended for use to determine an individual’s eligibility for workers’ compensation or to assist employers with Occupation Safety and Health Administration (OSHA) record keeping requirements.</w:t>
      </w:r>
    </w:p>
    <w:p w14:paraId="19393BA3" w14:textId="53921095" w:rsidR="00BC1F7E" w:rsidRPr="00EE5FA5" w:rsidRDefault="00BC1F7E" w:rsidP="00EE5FA5">
      <w:pPr>
        <w:pStyle w:val="Heading1"/>
        <w:rPr>
          <w:sz w:val="20"/>
          <w:szCs w:val="20"/>
        </w:rPr>
      </w:pPr>
      <w:r>
        <w:t>REFERENCES</w:t>
      </w:r>
      <w:r w:rsidR="00257C15">
        <w:t xml:space="preserve"> </w:t>
      </w:r>
    </w:p>
    <w:p w14:paraId="40BB49AD" w14:textId="77777777" w:rsidR="00722971" w:rsidRPr="00722971" w:rsidRDefault="00BC1F7E" w:rsidP="00722971">
      <w:pPr>
        <w:pStyle w:val="EndNoteBibliography"/>
        <w:spacing w:after="240"/>
        <w:ind w:left="720" w:hanging="720"/>
        <w:rPr>
          <w:noProof/>
        </w:rPr>
      </w:pPr>
      <w:r w:rsidRPr="001C48F6">
        <w:rPr>
          <w:rFonts w:asciiTheme="minorHAnsi" w:hAnsiTheme="minorHAnsi" w:cstheme="minorHAnsi"/>
          <w:color w:val="000000" w:themeColor="text1"/>
        </w:rPr>
        <w:fldChar w:fldCharType="begin"/>
      </w:r>
      <w:r w:rsidRPr="001C48F6">
        <w:rPr>
          <w:rFonts w:asciiTheme="minorHAnsi" w:hAnsiTheme="minorHAnsi" w:cstheme="minorHAnsi"/>
          <w:color w:val="000000" w:themeColor="text1"/>
        </w:rPr>
        <w:instrText xml:space="preserve"> ADDIN EN.REFLIST </w:instrText>
      </w:r>
      <w:r w:rsidRPr="001C48F6">
        <w:rPr>
          <w:rFonts w:asciiTheme="minorHAnsi" w:hAnsiTheme="minorHAnsi" w:cstheme="minorHAnsi"/>
          <w:color w:val="000000" w:themeColor="text1"/>
        </w:rPr>
        <w:fldChar w:fldCharType="separate"/>
      </w:r>
      <w:r w:rsidR="00722971" w:rsidRPr="00722971">
        <w:rPr>
          <w:noProof/>
        </w:rPr>
        <w:t>1.</w:t>
      </w:r>
      <w:r w:rsidR="00722971" w:rsidRPr="00722971">
        <w:rPr>
          <w:noProof/>
        </w:rPr>
        <w:tab/>
        <w:t xml:space="preserve">Bui, D.P., et al., </w:t>
      </w:r>
      <w:r w:rsidR="00722971" w:rsidRPr="00722971">
        <w:rPr>
          <w:i/>
          <w:noProof/>
        </w:rPr>
        <w:t>Racial and ethnic disparities among COVID-19 cases in workplace outbreaks by industry sector—Utah, March 6–June 5, 2020.</w:t>
      </w:r>
      <w:r w:rsidR="00722971" w:rsidRPr="00722971">
        <w:rPr>
          <w:noProof/>
        </w:rPr>
        <w:t xml:space="preserve"> Morbidity and Mortality Weekly Report, 2020. </w:t>
      </w:r>
      <w:r w:rsidR="00722971" w:rsidRPr="00722971">
        <w:rPr>
          <w:b/>
          <w:noProof/>
        </w:rPr>
        <w:t>69</w:t>
      </w:r>
      <w:r w:rsidR="00722971" w:rsidRPr="00722971">
        <w:rPr>
          <w:noProof/>
        </w:rPr>
        <w:t>(33): p. 1133.</w:t>
      </w:r>
    </w:p>
    <w:p w14:paraId="349992D1" w14:textId="77777777" w:rsidR="00722971" w:rsidRPr="00722971" w:rsidRDefault="00722971" w:rsidP="00722971">
      <w:pPr>
        <w:pStyle w:val="EndNoteBibliography"/>
        <w:spacing w:after="240"/>
        <w:ind w:left="720" w:hanging="720"/>
        <w:rPr>
          <w:noProof/>
        </w:rPr>
      </w:pPr>
      <w:r w:rsidRPr="00722971">
        <w:rPr>
          <w:noProof/>
        </w:rPr>
        <w:t>2.</w:t>
      </w:r>
      <w:r w:rsidRPr="00722971">
        <w:rPr>
          <w:noProof/>
        </w:rPr>
        <w:tab/>
        <w:t xml:space="preserve">Rubenstein, B.L., et al., </w:t>
      </w:r>
      <w:r w:rsidRPr="00722971">
        <w:rPr>
          <w:i/>
          <w:noProof/>
        </w:rPr>
        <w:t>Factors That Might Affect SARS-CoV-2 Transmission Among Foreign-Born and US-Born Poultry Facility Workers—Maryland, May 2020.</w:t>
      </w:r>
      <w:r w:rsidRPr="00722971">
        <w:rPr>
          <w:noProof/>
        </w:rPr>
        <w:t xml:space="preserve"> Morbidity and Mortality Weekly Report, 2020. </w:t>
      </w:r>
      <w:r w:rsidRPr="00722971">
        <w:rPr>
          <w:b/>
          <w:noProof/>
        </w:rPr>
        <w:t>69</w:t>
      </w:r>
      <w:r w:rsidRPr="00722971">
        <w:rPr>
          <w:noProof/>
        </w:rPr>
        <w:t>(50): p. 1906.</w:t>
      </w:r>
    </w:p>
    <w:p w14:paraId="49968DE7" w14:textId="77777777" w:rsidR="00722971" w:rsidRPr="00722971" w:rsidRDefault="00722971" w:rsidP="00722971">
      <w:pPr>
        <w:pStyle w:val="EndNoteBibliography"/>
        <w:spacing w:after="240"/>
        <w:ind w:left="720" w:hanging="720"/>
        <w:rPr>
          <w:noProof/>
        </w:rPr>
      </w:pPr>
      <w:r w:rsidRPr="00722971">
        <w:rPr>
          <w:noProof/>
        </w:rPr>
        <w:t>3.</w:t>
      </w:r>
      <w:r w:rsidRPr="00722971">
        <w:rPr>
          <w:noProof/>
        </w:rPr>
        <w:tab/>
        <w:t xml:space="preserve">Pray, I.W., et al., </w:t>
      </w:r>
      <w:r w:rsidRPr="00722971">
        <w:rPr>
          <w:i/>
          <w:noProof/>
        </w:rPr>
        <w:t>Trends in Outbreak-Associated Cases of COVID-19—Wisconsin, March–November 2020.</w:t>
      </w:r>
      <w:r w:rsidRPr="00722971">
        <w:rPr>
          <w:noProof/>
        </w:rPr>
        <w:t xml:space="preserve"> Morbidity and Mortality Weekly Report, 2021. </w:t>
      </w:r>
      <w:r w:rsidRPr="00722971">
        <w:rPr>
          <w:b/>
          <w:noProof/>
        </w:rPr>
        <w:t>70</w:t>
      </w:r>
      <w:r w:rsidRPr="00722971">
        <w:rPr>
          <w:noProof/>
        </w:rPr>
        <w:t>(4): p. 114.</w:t>
      </w:r>
    </w:p>
    <w:p w14:paraId="1655A547" w14:textId="77777777" w:rsidR="00722971" w:rsidRPr="00722971" w:rsidRDefault="00722971" w:rsidP="00722971">
      <w:pPr>
        <w:pStyle w:val="EndNoteBibliography"/>
        <w:spacing w:after="240"/>
        <w:ind w:left="720" w:hanging="720"/>
        <w:rPr>
          <w:noProof/>
        </w:rPr>
      </w:pPr>
      <w:r w:rsidRPr="00722971">
        <w:rPr>
          <w:noProof/>
        </w:rPr>
        <w:t>4.</w:t>
      </w:r>
      <w:r w:rsidRPr="00722971">
        <w:rPr>
          <w:noProof/>
        </w:rPr>
        <w:tab/>
        <w:t xml:space="preserve">Dubay, L., et al., </w:t>
      </w:r>
      <w:r w:rsidRPr="00722971">
        <w:rPr>
          <w:i/>
          <w:noProof/>
        </w:rPr>
        <w:t>How Risk of Exposure to the Coronavirus at Work Varies by Race and Ethnicity and How to Protect the Health and Well-Being of Workers and Their Families.</w:t>
      </w:r>
      <w:r w:rsidRPr="00722971">
        <w:rPr>
          <w:noProof/>
        </w:rPr>
        <w:t xml:space="preserve"> 2020.</w:t>
      </w:r>
    </w:p>
    <w:p w14:paraId="22EA8D69" w14:textId="77777777" w:rsidR="00722971" w:rsidRPr="00722971" w:rsidRDefault="00722971" w:rsidP="00722971">
      <w:pPr>
        <w:pStyle w:val="EndNoteBibliography"/>
        <w:spacing w:after="240"/>
        <w:ind w:left="720" w:hanging="720"/>
        <w:rPr>
          <w:noProof/>
        </w:rPr>
      </w:pPr>
      <w:r w:rsidRPr="00722971">
        <w:rPr>
          <w:noProof/>
        </w:rPr>
        <w:t>5.</w:t>
      </w:r>
      <w:r w:rsidRPr="00722971">
        <w:rPr>
          <w:noProof/>
        </w:rPr>
        <w:tab/>
        <w:t xml:space="preserve">U.S. Department of Homeland Security’s Cybersecurity and Infrastructure Security Agency’s (CISA), </w:t>
      </w:r>
      <w:r w:rsidRPr="00722971">
        <w:rPr>
          <w:i/>
          <w:noProof/>
        </w:rPr>
        <w:t>Guidance on the Essential Critical Infrastructure Workforce (Version 4, August 2020)</w:t>
      </w:r>
      <w:r w:rsidRPr="00722971">
        <w:rPr>
          <w:noProof/>
        </w:rPr>
        <w:t>. 2020, U.S. Department of Homeland Security’s Cybersecurity and Infrastructure Security Agency.</w:t>
      </w:r>
    </w:p>
    <w:p w14:paraId="352B7665" w14:textId="77777777" w:rsidR="00722971" w:rsidRPr="00722971" w:rsidRDefault="00722971" w:rsidP="00722971">
      <w:pPr>
        <w:pStyle w:val="EndNoteBibliography"/>
        <w:spacing w:after="240"/>
        <w:ind w:left="720" w:hanging="720"/>
        <w:rPr>
          <w:noProof/>
        </w:rPr>
      </w:pPr>
      <w:r w:rsidRPr="00722971">
        <w:rPr>
          <w:noProof/>
        </w:rPr>
        <w:t>6.</w:t>
      </w:r>
      <w:r w:rsidRPr="00722971">
        <w:rPr>
          <w:noProof/>
        </w:rPr>
        <w:tab/>
        <w:t xml:space="preserve">Dooling, K., et al., </w:t>
      </w:r>
      <w:r w:rsidRPr="00722971">
        <w:rPr>
          <w:i/>
          <w:noProof/>
        </w:rPr>
        <w:t>The Advisory Committee on Immunization Practices’ Interim Recommendation for Allocating Initial Supplies of COVID-19 Vaccine—United States, 2020.</w:t>
      </w:r>
      <w:r w:rsidRPr="00722971">
        <w:rPr>
          <w:noProof/>
        </w:rPr>
        <w:t xml:space="preserve"> Morbidity and Mortality Weekly Report, 2020. </w:t>
      </w:r>
      <w:r w:rsidRPr="00722971">
        <w:rPr>
          <w:b/>
          <w:noProof/>
        </w:rPr>
        <w:t>69</w:t>
      </w:r>
      <w:r w:rsidRPr="00722971">
        <w:rPr>
          <w:noProof/>
        </w:rPr>
        <w:t>(49): p. 1857.</w:t>
      </w:r>
    </w:p>
    <w:p w14:paraId="7C3ED613" w14:textId="3A190325" w:rsidR="00722971" w:rsidRPr="00722971" w:rsidRDefault="00722971" w:rsidP="00722971">
      <w:pPr>
        <w:pStyle w:val="EndNoteBibliography"/>
        <w:spacing w:after="240"/>
        <w:ind w:left="720" w:hanging="720"/>
        <w:rPr>
          <w:noProof/>
        </w:rPr>
      </w:pPr>
      <w:r w:rsidRPr="00722971">
        <w:rPr>
          <w:noProof/>
        </w:rPr>
        <w:t>7.</w:t>
      </w:r>
      <w:r w:rsidRPr="00722971">
        <w:rPr>
          <w:noProof/>
        </w:rPr>
        <w:tab/>
        <w:t xml:space="preserve">U.S. Department of Labor. </w:t>
      </w:r>
      <w:r w:rsidRPr="00722971">
        <w:rPr>
          <w:i/>
          <w:noProof/>
        </w:rPr>
        <w:t xml:space="preserve">Protecting Workers: Guidance on Mitigating and Preventing the Spread of COVID-19 in the Workplace. </w:t>
      </w:r>
      <w:r w:rsidRPr="00722971">
        <w:rPr>
          <w:noProof/>
        </w:rPr>
        <w:t xml:space="preserve">. 2020  February 11, 2021]; Available from: </w:t>
      </w:r>
      <w:hyperlink r:id="rId9" w:history="1">
        <w:r w:rsidRPr="00722971">
          <w:rPr>
            <w:rStyle w:val="Hyperlink"/>
            <w:noProof/>
          </w:rPr>
          <w:t>https://www.osha.gov/coronavirus/safework</w:t>
        </w:r>
      </w:hyperlink>
      <w:r w:rsidRPr="00722971">
        <w:rPr>
          <w:noProof/>
        </w:rPr>
        <w:t>.</w:t>
      </w:r>
    </w:p>
    <w:p w14:paraId="7290E667" w14:textId="77777777" w:rsidR="00722971" w:rsidRPr="00722971" w:rsidRDefault="00722971" w:rsidP="00722971">
      <w:pPr>
        <w:pStyle w:val="EndNoteBibliography"/>
        <w:spacing w:after="240"/>
        <w:ind w:left="720" w:hanging="720"/>
        <w:rPr>
          <w:noProof/>
        </w:rPr>
      </w:pPr>
      <w:r w:rsidRPr="00722971">
        <w:rPr>
          <w:noProof/>
        </w:rPr>
        <w:t>8.</w:t>
      </w:r>
      <w:r w:rsidRPr="00722971">
        <w:rPr>
          <w:noProof/>
        </w:rPr>
        <w:tab/>
        <w:t xml:space="preserve">National Academies of Sciences, E., Medicine,, </w:t>
      </w:r>
      <w:r w:rsidRPr="00722971">
        <w:rPr>
          <w:i/>
          <w:noProof/>
        </w:rPr>
        <w:t>Framework for equitable allocation of COVID-19 vaccine</w:t>
      </w:r>
      <w:r w:rsidRPr="00722971">
        <w:rPr>
          <w:noProof/>
        </w:rPr>
        <w:t>. 2020, National Academies of Sciences: Washington DC.</w:t>
      </w:r>
    </w:p>
    <w:p w14:paraId="6DCD24E1" w14:textId="77777777" w:rsidR="00722971" w:rsidRPr="00722971" w:rsidRDefault="00722971" w:rsidP="00722971">
      <w:pPr>
        <w:pStyle w:val="EndNoteBibliography"/>
        <w:spacing w:after="240"/>
        <w:ind w:left="720" w:hanging="720"/>
        <w:rPr>
          <w:noProof/>
        </w:rPr>
      </w:pPr>
      <w:r w:rsidRPr="00722971">
        <w:rPr>
          <w:noProof/>
        </w:rPr>
        <w:t>9.</w:t>
      </w:r>
      <w:r w:rsidRPr="00722971">
        <w:rPr>
          <w:noProof/>
        </w:rPr>
        <w:tab/>
        <w:t xml:space="preserve">European Centre for Disease Prevent and Control, </w:t>
      </w:r>
      <w:r w:rsidRPr="00722971">
        <w:rPr>
          <w:i/>
          <w:noProof/>
        </w:rPr>
        <w:t xml:space="preserve">Covid-19 clusters and outbreaks in occupational settings in the EU/EEA and the UK. </w:t>
      </w:r>
      <w:r w:rsidRPr="00722971">
        <w:rPr>
          <w:noProof/>
        </w:rPr>
        <w:t>. 2020, European Centre for Disease Prevent and Control: Stockholm, Sweden.</w:t>
      </w:r>
    </w:p>
    <w:p w14:paraId="0734BD92" w14:textId="086862DF" w:rsidR="00722971" w:rsidRPr="00722971" w:rsidRDefault="00722971" w:rsidP="00722971">
      <w:pPr>
        <w:pStyle w:val="EndNoteBibliography"/>
        <w:spacing w:after="240"/>
        <w:ind w:left="720" w:hanging="720"/>
        <w:rPr>
          <w:noProof/>
        </w:rPr>
      </w:pPr>
      <w:r w:rsidRPr="00722971">
        <w:rPr>
          <w:noProof/>
        </w:rPr>
        <w:t>10.</w:t>
      </w:r>
      <w:r w:rsidRPr="00722971">
        <w:rPr>
          <w:noProof/>
        </w:rPr>
        <w:tab/>
        <w:t xml:space="preserve">Council of State and Territorial Epidemiologists Committee: Infectious Disease. </w:t>
      </w:r>
      <w:r w:rsidRPr="00722971">
        <w:rPr>
          <w:i/>
          <w:noProof/>
        </w:rPr>
        <w:t>Interim-20-ID-02 : Update to the standardized surveillance case definition and national notification for 2019 novel coronavirus disease (COVID-19)</w:t>
      </w:r>
      <w:r w:rsidRPr="00722971">
        <w:rPr>
          <w:noProof/>
        </w:rPr>
        <w:t xml:space="preserve">. 2020; Available from: </w:t>
      </w:r>
      <w:hyperlink r:id="rId10" w:history="1">
        <w:r w:rsidRPr="00722971">
          <w:rPr>
            <w:rStyle w:val="Hyperlink"/>
            <w:noProof/>
          </w:rPr>
          <w:t>https://cdn.ymaws.com/www.cste.org/resource/resmgr/ps/positionstatement2020/Interim-20-ID-02_COVID-19.pdf</w:t>
        </w:r>
      </w:hyperlink>
      <w:r w:rsidRPr="00722971">
        <w:rPr>
          <w:noProof/>
        </w:rPr>
        <w:t>.</w:t>
      </w:r>
    </w:p>
    <w:p w14:paraId="41CC9754" w14:textId="30C74927" w:rsidR="00722971" w:rsidRPr="00722971" w:rsidRDefault="00722971" w:rsidP="00722971">
      <w:pPr>
        <w:pStyle w:val="EndNoteBibliography"/>
        <w:spacing w:after="240"/>
        <w:ind w:left="720" w:hanging="720"/>
        <w:rPr>
          <w:noProof/>
        </w:rPr>
      </w:pPr>
      <w:r w:rsidRPr="00722971">
        <w:rPr>
          <w:noProof/>
        </w:rPr>
        <w:t>11.</w:t>
      </w:r>
      <w:r w:rsidRPr="00722971">
        <w:rPr>
          <w:noProof/>
        </w:rPr>
        <w:tab/>
        <w:t xml:space="preserve">Center for Disease Control and Prevention. </w:t>
      </w:r>
      <w:r w:rsidRPr="00722971">
        <w:rPr>
          <w:i/>
          <w:noProof/>
        </w:rPr>
        <w:t>Instructions for Completing the Human Infection with 2019 Novel Coronavirus (COVID-19) Case Report Form (Version 1 May 2020)</w:t>
      </w:r>
      <w:r w:rsidRPr="00722971">
        <w:rPr>
          <w:noProof/>
        </w:rPr>
        <w:t xml:space="preserve">. 2020  February 11, 2021]; Available from: </w:t>
      </w:r>
      <w:hyperlink r:id="rId11" w:history="1">
        <w:r w:rsidRPr="00722971">
          <w:rPr>
            <w:rStyle w:val="Hyperlink"/>
            <w:noProof/>
          </w:rPr>
          <w:t>https://www.cdc.gov/coronavirus/2019-ncov/downloads/COVID-19-Persons-Under-Investigation-and-Case-Report-Form-Instructions.pdf</w:t>
        </w:r>
      </w:hyperlink>
      <w:r w:rsidRPr="00722971">
        <w:rPr>
          <w:noProof/>
        </w:rPr>
        <w:t>.</w:t>
      </w:r>
    </w:p>
    <w:p w14:paraId="14FC576D" w14:textId="77777777" w:rsidR="00722971" w:rsidRPr="00722971" w:rsidRDefault="00722971" w:rsidP="00722971">
      <w:pPr>
        <w:pStyle w:val="EndNoteBibliography"/>
        <w:spacing w:after="240"/>
        <w:ind w:left="720" w:hanging="720"/>
        <w:rPr>
          <w:noProof/>
        </w:rPr>
      </w:pPr>
      <w:r w:rsidRPr="00722971">
        <w:rPr>
          <w:noProof/>
        </w:rPr>
        <w:t>12.</w:t>
      </w:r>
      <w:r w:rsidRPr="00722971">
        <w:rPr>
          <w:noProof/>
        </w:rPr>
        <w:tab/>
        <w:t xml:space="preserve">U.S. Bureau of Labor Statistics. </w:t>
      </w:r>
      <w:r w:rsidRPr="00722971">
        <w:rPr>
          <w:i/>
          <w:noProof/>
        </w:rPr>
        <w:t>Occupational Employment Statistics, National Employment Statistics</w:t>
      </w:r>
      <w:r w:rsidRPr="00722971">
        <w:rPr>
          <w:noProof/>
        </w:rPr>
        <w:t>. 2019.</w:t>
      </w:r>
    </w:p>
    <w:p w14:paraId="63113F25" w14:textId="4FA3CAE2" w:rsidR="00722971" w:rsidRPr="00722971" w:rsidRDefault="00722971" w:rsidP="00722971">
      <w:pPr>
        <w:pStyle w:val="EndNoteBibliography"/>
        <w:spacing w:after="240"/>
        <w:ind w:left="720" w:hanging="720"/>
        <w:rPr>
          <w:noProof/>
        </w:rPr>
      </w:pPr>
      <w:r w:rsidRPr="00722971">
        <w:rPr>
          <w:noProof/>
        </w:rPr>
        <w:t>13.</w:t>
      </w:r>
      <w:r w:rsidRPr="00722971">
        <w:rPr>
          <w:noProof/>
        </w:rPr>
        <w:tab/>
        <w:t xml:space="preserve">U. S. Department of Labor. </w:t>
      </w:r>
      <w:r w:rsidRPr="00722971">
        <w:rPr>
          <w:i/>
          <w:noProof/>
        </w:rPr>
        <w:t>Department of Employment and Training. O*NET System</w:t>
      </w:r>
      <w:r w:rsidRPr="00722971">
        <w:rPr>
          <w:noProof/>
        </w:rPr>
        <w:t xml:space="preserve">. 2020  October 7, 2020]; Available from: </w:t>
      </w:r>
      <w:hyperlink r:id="rId12" w:history="1">
        <w:r w:rsidRPr="00722971">
          <w:rPr>
            <w:rStyle w:val="Hyperlink"/>
            <w:noProof/>
          </w:rPr>
          <w:t>https://www.dol.gov/agencies/eta/onet</w:t>
        </w:r>
      </w:hyperlink>
      <w:r w:rsidRPr="00722971">
        <w:rPr>
          <w:noProof/>
        </w:rPr>
        <w:t>. .</w:t>
      </w:r>
    </w:p>
    <w:p w14:paraId="35E50960" w14:textId="40217EEE" w:rsidR="00722971" w:rsidRPr="00722971" w:rsidRDefault="00722971" w:rsidP="00722971">
      <w:pPr>
        <w:pStyle w:val="EndNoteBibliography"/>
        <w:spacing w:after="240"/>
        <w:ind w:left="720" w:hanging="720"/>
        <w:rPr>
          <w:noProof/>
        </w:rPr>
      </w:pPr>
      <w:r w:rsidRPr="00722971">
        <w:rPr>
          <w:noProof/>
        </w:rPr>
        <w:t>14.</w:t>
      </w:r>
      <w:r w:rsidRPr="00722971">
        <w:rPr>
          <w:noProof/>
        </w:rPr>
        <w:tab/>
        <w:t xml:space="preserve">U. S. Department of Labor. </w:t>
      </w:r>
      <w:r w:rsidRPr="00722971">
        <w:rPr>
          <w:i/>
          <w:noProof/>
        </w:rPr>
        <w:t>O*NET Help Online</w:t>
      </w:r>
      <w:r w:rsidRPr="00722971">
        <w:rPr>
          <w:noProof/>
        </w:rPr>
        <w:t>. 2020  October 7, 2020]; Available from: ttps://</w:t>
      </w:r>
      <w:hyperlink r:id="rId13" w:anchor="score" w:history="1">
        <w:r w:rsidRPr="00722971">
          <w:rPr>
            <w:rStyle w:val="Hyperlink"/>
            <w:noProof/>
          </w:rPr>
          <w:t>www.onetonline.org/help/online/scales#score</w:t>
        </w:r>
      </w:hyperlink>
      <w:r w:rsidRPr="00722971">
        <w:rPr>
          <w:noProof/>
        </w:rPr>
        <w:t>.</w:t>
      </w:r>
    </w:p>
    <w:p w14:paraId="15508C45" w14:textId="0171929E" w:rsidR="00722971" w:rsidRPr="00722971" w:rsidRDefault="00722971" w:rsidP="00722971">
      <w:pPr>
        <w:pStyle w:val="EndNoteBibliography"/>
        <w:spacing w:after="240"/>
        <w:ind w:left="720" w:hanging="720"/>
        <w:rPr>
          <w:noProof/>
        </w:rPr>
      </w:pPr>
      <w:r w:rsidRPr="00722971">
        <w:rPr>
          <w:noProof/>
        </w:rPr>
        <w:t>15.</w:t>
      </w:r>
      <w:r w:rsidRPr="00722971">
        <w:rPr>
          <w:noProof/>
        </w:rPr>
        <w:tab/>
        <w:t xml:space="preserve">U.S. Bureau of Labor Statistics. </w:t>
      </w:r>
      <w:r w:rsidRPr="00722971">
        <w:rPr>
          <w:i/>
          <w:noProof/>
        </w:rPr>
        <w:t>Standard Occupational Classification System, Users Guide, February 2010</w:t>
      </w:r>
      <w:r w:rsidRPr="00722971">
        <w:rPr>
          <w:noProof/>
        </w:rPr>
        <w:t xml:space="preserve">. 2010  October 7, 2020]; Available from: </w:t>
      </w:r>
      <w:hyperlink r:id="rId14" w:history="1">
        <w:r w:rsidRPr="00722971">
          <w:rPr>
            <w:rStyle w:val="Hyperlink"/>
            <w:noProof/>
          </w:rPr>
          <w:t>https://www.bls.gov/soc/soc_2010_user_guide.pdf</w:t>
        </w:r>
      </w:hyperlink>
      <w:r w:rsidRPr="00722971">
        <w:rPr>
          <w:noProof/>
        </w:rPr>
        <w:t>.</w:t>
      </w:r>
    </w:p>
    <w:p w14:paraId="3561A48E" w14:textId="2C7A9CC1" w:rsidR="00722971" w:rsidRPr="00722971" w:rsidRDefault="00722971" w:rsidP="00722971">
      <w:pPr>
        <w:pStyle w:val="EndNoteBibliography"/>
        <w:spacing w:after="240"/>
        <w:ind w:left="720" w:hanging="720"/>
        <w:rPr>
          <w:noProof/>
        </w:rPr>
      </w:pPr>
      <w:r w:rsidRPr="00722971">
        <w:rPr>
          <w:noProof/>
        </w:rPr>
        <w:t>16.</w:t>
      </w:r>
      <w:r w:rsidRPr="00722971">
        <w:rPr>
          <w:noProof/>
        </w:rPr>
        <w:tab/>
        <w:t xml:space="preserve">U.S. Census Bureau. </w:t>
      </w:r>
      <w:r w:rsidRPr="00722971">
        <w:rPr>
          <w:i/>
          <w:noProof/>
        </w:rPr>
        <w:t>Industry and Occupation Classification</w:t>
      </w:r>
      <w:r w:rsidRPr="00722971">
        <w:rPr>
          <w:noProof/>
        </w:rPr>
        <w:t xml:space="preserve">. 2010  October 7, 2020]; Available from: </w:t>
      </w:r>
      <w:hyperlink r:id="rId15" w:history="1">
        <w:r w:rsidRPr="00722971">
          <w:rPr>
            <w:rStyle w:val="Hyperlink"/>
            <w:noProof/>
          </w:rPr>
          <w:t>https://www.census.gov/programs-surveys/cps/technical-documentation/methodology/industry-and-occupation-classification.html</w:t>
        </w:r>
      </w:hyperlink>
      <w:r w:rsidRPr="00722971">
        <w:rPr>
          <w:noProof/>
        </w:rPr>
        <w:t>.</w:t>
      </w:r>
    </w:p>
    <w:p w14:paraId="11F66F4C" w14:textId="64AA1EE5" w:rsidR="00722971" w:rsidRPr="00722971" w:rsidRDefault="00722971" w:rsidP="00722971">
      <w:pPr>
        <w:pStyle w:val="EndNoteBibliography"/>
        <w:spacing w:after="240"/>
        <w:ind w:left="720" w:hanging="720"/>
        <w:rPr>
          <w:noProof/>
        </w:rPr>
      </w:pPr>
      <w:r w:rsidRPr="00722971">
        <w:rPr>
          <w:noProof/>
        </w:rPr>
        <w:t>17.</w:t>
      </w:r>
      <w:r w:rsidRPr="00722971">
        <w:rPr>
          <w:noProof/>
        </w:rPr>
        <w:tab/>
        <w:t xml:space="preserve">Center for Disease Control and Prevention. </w:t>
      </w:r>
      <w:r w:rsidRPr="00722971">
        <w:rPr>
          <w:i/>
          <w:noProof/>
        </w:rPr>
        <w:t>COVID-19 Racial and Ethnic Disparities</w:t>
      </w:r>
      <w:r w:rsidRPr="00722971">
        <w:rPr>
          <w:noProof/>
        </w:rPr>
        <w:t xml:space="preserve">. 2020 December 10, 2020 March 21, 2021]; Available from: </w:t>
      </w:r>
      <w:hyperlink r:id="rId16" w:history="1">
        <w:r w:rsidRPr="00722971">
          <w:rPr>
            <w:rStyle w:val="Hyperlink"/>
            <w:noProof/>
          </w:rPr>
          <w:t>https://www.cdc.gov/coronavirus/2019-ncov/community/health-equity/racial-ethnic-disparities/index.html</w:t>
        </w:r>
      </w:hyperlink>
      <w:r w:rsidRPr="00722971">
        <w:rPr>
          <w:noProof/>
        </w:rPr>
        <w:t>.</w:t>
      </w:r>
    </w:p>
    <w:p w14:paraId="1CC3BA33" w14:textId="77777777" w:rsidR="00722971" w:rsidRPr="00722971" w:rsidRDefault="00722971" w:rsidP="00722971">
      <w:pPr>
        <w:pStyle w:val="EndNoteBibliography"/>
        <w:spacing w:after="240"/>
        <w:ind w:left="720" w:hanging="720"/>
        <w:rPr>
          <w:noProof/>
        </w:rPr>
      </w:pPr>
      <w:r w:rsidRPr="00722971">
        <w:rPr>
          <w:noProof/>
        </w:rPr>
        <w:t>18.</w:t>
      </w:r>
      <w:r w:rsidRPr="00722971">
        <w:rPr>
          <w:noProof/>
        </w:rPr>
        <w:tab/>
        <w:t xml:space="preserve">Gold, J.A., et al., </w:t>
      </w:r>
      <w:r w:rsidRPr="00722971">
        <w:rPr>
          <w:i/>
          <w:noProof/>
        </w:rPr>
        <w:t>Race, ethnicity, and age trends in persons who died from COVID-19—United States, May–August 2020.</w:t>
      </w:r>
      <w:r w:rsidRPr="00722971">
        <w:rPr>
          <w:noProof/>
        </w:rPr>
        <w:t xml:space="preserve"> Morbidity and Mortality Weekly Report, 2020. </w:t>
      </w:r>
      <w:r w:rsidRPr="00722971">
        <w:rPr>
          <w:b/>
          <w:noProof/>
        </w:rPr>
        <w:t>69</w:t>
      </w:r>
      <w:r w:rsidRPr="00722971">
        <w:rPr>
          <w:noProof/>
        </w:rPr>
        <w:t>(42): p. 1517.</w:t>
      </w:r>
    </w:p>
    <w:p w14:paraId="55DE533D" w14:textId="77777777" w:rsidR="00722971" w:rsidRPr="00722971" w:rsidRDefault="00722971" w:rsidP="00722971">
      <w:pPr>
        <w:pStyle w:val="EndNoteBibliography"/>
        <w:spacing w:after="240"/>
        <w:ind w:left="720" w:hanging="720"/>
        <w:rPr>
          <w:noProof/>
        </w:rPr>
      </w:pPr>
      <w:r w:rsidRPr="00722971">
        <w:rPr>
          <w:noProof/>
        </w:rPr>
        <w:t>19.</w:t>
      </w:r>
      <w:r w:rsidRPr="00722971">
        <w:rPr>
          <w:noProof/>
        </w:rPr>
        <w:tab/>
        <w:t xml:space="preserve">Hawkins, D., L. Davis, and D. Kriebel, </w:t>
      </w:r>
      <w:r w:rsidRPr="00722971">
        <w:rPr>
          <w:i/>
          <w:noProof/>
        </w:rPr>
        <w:t>COVID‐19 deaths by occupation, Massachusetts, March 1–July 31, 2020.</w:t>
      </w:r>
      <w:r w:rsidRPr="00722971">
        <w:rPr>
          <w:noProof/>
        </w:rPr>
        <w:t xml:space="preserve"> American journal of industrial medicine, 2021.</w:t>
      </w:r>
    </w:p>
    <w:p w14:paraId="12402337" w14:textId="77777777" w:rsidR="00722971" w:rsidRPr="00722971" w:rsidRDefault="00722971" w:rsidP="00722971">
      <w:pPr>
        <w:pStyle w:val="EndNoteBibliography"/>
        <w:spacing w:after="240"/>
        <w:ind w:left="720" w:hanging="720"/>
        <w:rPr>
          <w:noProof/>
        </w:rPr>
      </w:pPr>
      <w:r w:rsidRPr="00722971">
        <w:rPr>
          <w:noProof/>
        </w:rPr>
        <w:t>20.</w:t>
      </w:r>
      <w:r w:rsidRPr="00722971">
        <w:rPr>
          <w:noProof/>
        </w:rPr>
        <w:tab/>
        <w:t xml:space="preserve">Hawkins, D., </w:t>
      </w:r>
      <w:r w:rsidRPr="00722971">
        <w:rPr>
          <w:i/>
          <w:noProof/>
        </w:rPr>
        <w:t>Differential occupational risk for COVID‐19 and other infection exposure according to race and ethnicity.</w:t>
      </w:r>
      <w:r w:rsidRPr="00722971">
        <w:rPr>
          <w:noProof/>
        </w:rPr>
        <w:t xml:space="preserve"> American journal of industrial medicine, 2020. </w:t>
      </w:r>
      <w:r w:rsidRPr="00722971">
        <w:rPr>
          <w:b/>
          <w:noProof/>
        </w:rPr>
        <w:t>63</w:t>
      </w:r>
      <w:r w:rsidRPr="00722971">
        <w:rPr>
          <w:noProof/>
        </w:rPr>
        <w:t>(9): p. 817-820.</w:t>
      </w:r>
    </w:p>
    <w:p w14:paraId="5FAA536B" w14:textId="77777777" w:rsidR="00722971" w:rsidRPr="00722971" w:rsidRDefault="00722971" w:rsidP="00722971">
      <w:pPr>
        <w:pStyle w:val="EndNoteBibliography"/>
        <w:spacing w:after="240"/>
        <w:ind w:left="720" w:hanging="720"/>
        <w:rPr>
          <w:noProof/>
        </w:rPr>
      </w:pPr>
      <w:r w:rsidRPr="00722971">
        <w:rPr>
          <w:noProof/>
        </w:rPr>
        <w:t>21.</w:t>
      </w:r>
      <w:r w:rsidRPr="00722971">
        <w:rPr>
          <w:noProof/>
        </w:rPr>
        <w:tab/>
        <w:t xml:space="preserve">Cox-Ganser, J.M. and P.K. Henneberger, </w:t>
      </w:r>
      <w:r w:rsidRPr="00722971">
        <w:rPr>
          <w:i/>
          <w:noProof/>
        </w:rPr>
        <w:t>Occupations by Proximity and Indoor/Outdoor Work: Relevance to COVID-19 in All Workers and Black/Hispanic Workers.</w:t>
      </w:r>
      <w:r w:rsidRPr="00722971">
        <w:rPr>
          <w:noProof/>
        </w:rPr>
        <w:t xml:space="preserve"> American Journal of Preventive Medicine, 2021.</w:t>
      </w:r>
    </w:p>
    <w:p w14:paraId="76C08616" w14:textId="77777777" w:rsidR="00722971" w:rsidRPr="00722971" w:rsidRDefault="00722971" w:rsidP="00722971">
      <w:pPr>
        <w:pStyle w:val="EndNoteBibliography"/>
        <w:spacing w:after="240"/>
        <w:ind w:left="720" w:hanging="720"/>
        <w:rPr>
          <w:noProof/>
        </w:rPr>
      </w:pPr>
      <w:r w:rsidRPr="00722971">
        <w:rPr>
          <w:noProof/>
        </w:rPr>
        <w:t>22.</w:t>
      </w:r>
      <w:r w:rsidRPr="00722971">
        <w:rPr>
          <w:noProof/>
        </w:rPr>
        <w:tab/>
        <w:t xml:space="preserve">Dasgupta, S., et al., </w:t>
      </w:r>
      <w:r w:rsidRPr="00722971">
        <w:rPr>
          <w:i/>
          <w:noProof/>
        </w:rPr>
        <w:t>Association Between Social Vulnerability and a County’s Risk for Becoming a COVID-19 Hotspot—United States, June 1–July 25, 2020.</w:t>
      </w:r>
      <w:r w:rsidRPr="00722971">
        <w:rPr>
          <w:noProof/>
        </w:rPr>
        <w:t xml:space="preserve"> Morbidity and Mortality Weekly Report, 2020. </w:t>
      </w:r>
      <w:r w:rsidRPr="00722971">
        <w:rPr>
          <w:b/>
          <w:noProof/>
        </w:rPr>
        <w:t>69</w:t>
      </w:r>
      <w:r w:rsidRPr="00722971">
        <w:rPr>
          <w:noProof/>
        </w:rPr>
        <w:t>(42): p. 1535.</w:t>
      </w:r>
    </w:p>
    <w:p w14:paraId="34650D17" w14:textId="77777777" w:rsidR="00722971" w:rsidRPr="00722971" w:rsidRDefault="00722971" w:rsidP="00722971">
      <w:pPr>
        <w:pStyle w:val="EndNoteBibliography"/>
        <w:spacing w:after="240"/>
        <w:ind w:left="720" w:hanging="720"/>
        <w:rPr>
          <w:noProof/>
        </w:rPr>
      </w:pPr>
      <w:r w:rsidRPr="00722971">
        <w:rPr>
          <w:noProof/>
        </w:rPr>
        <w:t>23.</w:t>
      </w:r>
      <w:r w:rsidRPr="00722971">
        <w:rPr>
          <w:noProof/>
        </w:rPr>
        <w:tab/>
        <w:t xml:space="preserve">Middleton, J., R. Reintjes, and H. Lopes, </w:t>
      </w:r>
      <w:r w:rsidRPr="00722971">
        <w:rPr>
          <w:i/>
          <w:noProof/>
        </w:rPr>
        <w:t>Meat plants—a new front line in the covid-19 pandemic</w:t>
      </w:r>
      <w:r w:rsidRPr="00722971">
        <w:rPr>
          <w:noProof/>
        </w:rPr>
        <w:t>. 2020, British Medical Journal Publishing Group.</w:t>
      </w:r>
    </w:p>
    <w:p w14:paraId="3C857E6B" w14:textId="77777777" w:rsidR="00722971" w:rsidRPr="00722971" w:rsidRDefault="00722971" w:rsidP="00722971">
      <w:pPr>
        <w:pStyle w:val="EndNoteBibliography"/>
        <w:spacing w:after="240"/>
        <w:ind w:left="720" w:hanging="720"/>
        <w:rPr>
          <w:noProof/>
        </w:rPr>
      </w:pPr>
      <w:r w:rsidRPr="00722971">
        <w:rPr>
          <w:noProof/>
        </w:rPr>
        <w:t>24.</w:t>
      </w:r>
      <w:r w:rsidRPr="00722971">
        <w:rPr>
          <w:noProof/>
        </w:rPr>
        <w:tab/>
        <w:t xml:space="preserve">Fielding-Miller, R.K., M.E. Sundaram, and K. Brouwer, </w:t>
      </w:r>
      <w:r w:rsidRPr="00722971">
        <w:rPr>
          <w:i/>
          <w:noProof/>
        </w:rPr>
        <w:t>Social determinants of COVID-19 mortality at the county level.</w:t>
      </w:r>
      <w:r w:rsidRPr="00722971">
        <w:rPr>
          <w:noProof/>
        </w:rPr>
        <w:t xml:space="preserve"> PloS one, 2020. </w:t>
      </w:r>
      <w:r w:rsidRPr="00722971">
        <w:rPr>
          <w:b/>
          <w:noProof/>
        </w:rPr>
        <w:t>15</w:t>
      </w:r>
      <w:r w:rsidRPr="00722971">
        <w:rPr>
          <w:noProof/>
        </w:rPr>
        <w:t>(10): p. e0240151.</w:t>
      </w:r>
    </w:p>
    <w:p w14:paraId="689A5D32" w14:textId="4E2CB5A3" w:rsidR="00722971" w:rsidRPr="00722971" w:rsidRDefault="00722971" w:rsidP="00722971">
      <w:pPr>
        <w:pStyle w:val="EndNoteBibliography"/>
        <w:spacing w:after="240"/>
        <w:ind w:left="720" w:hanging="720"/>
        <w:rPr>
          <w:noProof/>
        </w:rPr>
      </w:pPr>
      <w:r w:rsidRPr="00722971">
        <w:rPr>
          <w:noProof/>
        </w:rPr>
        <w:t>25.</w:t>
      </w:r>
      <w:r w:rsidRPr="00722971">
        <w:rPr>
          <w:noProof/>
        </w:rPr>
        <w:tab/>
        <w:t xml:space="preserve">Council of State and Territorial Epidemiologists Occupational Health Subcommittee. </w:t>
      </w:r>
      <w:r w:rsidRPr="00722971">
        <w:rPr>
          <w:i/>
          <w:noProof/>
        </w:rPr>
        <w:t xml:space="preserve">Recommended Interim Guidance for Collecting Employment Information about COVID-19 cases Date: 4/22/2020 </w:t>
      </w:r>
      <w:r w:rsidRPr="00722971">
        <w:rPr>
          <w:noProof/>
        </w:rPr>
        <w:t xml:space="preserve">2020; Available from: </w:t>
      </w:r>
      <w:hyperlink r:id="rId17" w:history="1">
        <w:r w:rsidRPr="00722971">
          <w:rPr>
            <w:rStyle w:val="Hyperlink"/>
            <w:noProof/>
          </w:rPr>
          <w:t>https://cdn.ymaws.com/www.cste.org/resource/resmgr/publications/Guidance_collecting_io_covid.pdf</w:t>
        </w:r>
      </w:hyperlink>
      <w:r w:rsidRPr="00722971">
        <w:rPr>
          <w:noProof/>
        </w:rPr>
        <w:t>.</w:t>
      </w:r>
    </w:p>
    <w:p w14:paraId="746DB1BA" w14:textId="77777777" w:rsidR="00722971" w:rsidRPr="00722971" w:rsidRDefault="00722971" w:rsidP="00722971">
      <w:pPr>
        <w:pStyle w:val="EndNoteBibliography"/>
        <w:spacing w:after="240"/>
        <w:ind w:left="720" w:hanging="720"/>
        <w:rPr>
          <w:noProof/>
        </w:rPr>
      </w:pPr>
      <w:r w:rsidRPr="00722971">
        <w:rPr>
          <w:noProof/>
        </w:rPr>
        <w:t>26.</w:t>
      </w:r>
      <w:r w:rsidRPr="00722971">
        <w:rPr>
          <w:noProof/>
        </w:rPr>
        <w:tab/>
        <w:t xml:space="preserve">Carlsten, C., et al., </w:t>
      </w:r>
      <w:r w:rsidRPr="00722971">
        <w:rPr>
          <w:i/>
          <w:noProof/>
        </w:rPr>
        <w:t>COVID‐19 as an occupational disease.</w:t>
      </w:r>
      <w:r w:rsidRPr="00722971">
        <w:rPr>
          <w:noProof/>
        </w:rPr>
        <w:t xml:space="preserve"> American journal of industrial medicine, 2021.</w:t>
      </w:r>
    </w:p>
    <w:p w14:paraId="7EB812FD" w14:textId="77777777" w:rsidR="00722971" w:rsidRPr="00722971" w:rsidRDefault="00722971" w:rsidP="00722971">
      <w:pPr>
        <w:pStyle w:val="EndNoteBibliography"/>
        <w:spacing w:after="240"/>
        <w:ind w:left="720" w:hanging="720"/>
        <w:rPr>
          <w:noProof/>
        </w:rPr>
      </w:pPr>
      <w:r w:rsidRPr="00722971">
        <w:rPr>
          <w:noProof/>
        </w:rPr>
        <w:t>27.</w:t>
      </w:r>
      <w:r w:rsidRPr="00722971">
        <w:rPr>
          <w:noProof/>
        </w:rPr>
        <w:tab/>
        <w:t xml:space="preserve">Washington State Department of Labor &amp; Industries </w:t>
      </w:r>
      <w:r w:rsidRPr="00722971">
        <w:rPr>
          <w:i/>
          <w:noProof/>
        </w:rPr>
        <w:t>More than 20 farms in Washington cited for coronavirus violations since March (#20-044)</w:t>
      </w:r>
      <w:r w:rsidRPr="00722971">
        <w:rPr>
          <w:noProof/>
        </w:rPr>
        <w:t>. 2020, Washington State Department of Labor &amp; Industries: Tumwater, WA.</w:t>
      </w:r>
    </w:p>
    <w:p w14:paraId="5558FBF6" w14:textId="77777777" w:rsidR="00722971" w:rsidRPr="00722971" w:rsidRDefault="00722971" w:rsidP="00722971">
      <w:pPr>
        <w:pStyle w:val="EndNoteBibliography"/>
        <w:spacing w:after="240"/>
        <w:ind w:left="720" w:hanging="720"/>
        <w:rPr>
          <w:noProof/>
        </w:rPr>
      </w:pPr>
      <w:r w:rsidRPr="00722971">
        <w:rPr>
          <w:noProof/>
        </w:rPr>
        <w:t>28.</w:t>
      </w:r>
      <w:r w:rsidRPr="00722971">
        <w:rPr>
          <w:noProof/>
        </w:rPr>
        <w:tab/>
        <w:t xml:space="preserve">Handal, A.J., et al., </w:t>
      </w:r>
      <w:r w:rsidRPr="00722971">
        <w:rPr>
          <w:i/>
          <w:noProof/>
        </w:rPr>
        <w:t>“Essential” but Expendable: Farmworkers During the COVID-19 Pandemic—The Michigan Farmworker Project</w:t>
      </w:r>
      <w:r w:rsidRPr="00722971">
        <w:rPr>
          <w:noProof/>
        </w:rPr>
        <w:t>. 2020, American Public Health Association.</w:t>
      </w:r>
    </w:p>
    <w:p w14:paraId="55130117" w14:textId="77777777" w:rsidR="00722971" w:rsidRPr="00722971" w:rsidRDefault="00722971" w:rsidP="00722971">
      <w:pPr>
        <w:pStyle w:val="EndNoteBibliography"/>
        <w:spacing w:after="240"/>
        <w:ind w:left="720" w:hanging="720"/>
        <w:rPr>
          <w:noProof/>
        </w:rPr>
      </w:pPr>
      <w:r w:rsidRPr="00722971">
        <w:rPr>
          <w:noProof/>
        </w:rPr>
        <w:t>29.</w:t>
      </w:r>
      <w:r w:rsidRPr="00722971">
        <w:rPr>
          <w:noProof/>
        </w:rPr>
        <w:tab/>
        <w:t xml:space="preserve">Dingel, J.I. and B. Neiman, </w:t>
      </w:r>
      <w:r w:rsidRPr="00722971">
        <w:rPr>
          <w:i/>
          <w:noProof/>
        </w:rPr>
        <w:t>How many jobs can be done at home?</w:t>
      </w:r>
      <w:r w:rsidRPr="00722971">
        <w:rPr>
          <w:noProof/>
        </w:rPr>
        <w:t xml:space="preserve"> Journal of Public Economics, 2020. </w:t>
      </w:r>
      <w:r w:rsidRPr="00722971">
        <w:rPr>
          <w:b/>
          <w:noProof/>
        </w:rPr>
        <w:t>189</w:t>
      </w:r>
      <w:r w:rsidRPr="00722971">
        <w:rPr>
          <w:noProof/>
        </w:rPr>
        <w:t>: p. 104235.</w:t>
      </w:r>
    </w:p>
    <w:p w14:paraId="06EC69D9" w14:textId="77777777" w:rsidR="00722971" w:rsidRPr="00722971" w:rsidRDefault="00722971" w:rsidP="00722971">
      <w:pPr>
        <w:pStyle w:val="EndNoteBibliography"/>
        <w:spacing w:after="240"/>
        <w:ind w:left="720" w:hanging="720"/>
        <w:rPr>
          <w:noProof/>
        </w:rPr>
      </w:pPr>
      <w:r w:rsidRPr="00722971">
        <w:rPr>
          <w:noProof/>
        </w:rPr>
        <w:t>30.</w:t>
      </w:r>
      <w:r w:rsidRPr="00722971">
        <w:rPr>
          <w:noProof/>
        </w:rPr>
        <w:tab/>
        <w:t xml:space="preserve">Baker, M.G., </w:t>
      </w:r>
      <w:r w:rsidRPr="00722971">
        <w:rPr>
          <w:i/>
          <w:noProof/>
        </w:rPr>
        <w:t>Nonrelocatable occupations at increased risk during pandemics: United States, 2018.</w:t>
      </w:r>
      <w:r w:rsidRPr="00722971">
        <w:rPr>
          <w:noProof/>
        </w:rPr>
        <w:t xml:space="preserve"> American journal of public health, 2020. </w:t>
      </w:r>
      <w:r w:rsidRPr="00722971">
        <w:rPr>
          <w:b/>
          <w:noProof/>
        </w:rPr>
        <w:t>110</w:t>
      </w:r>
      <w:r w:rsidRPr="00722971">
        <w:rPr>
          <w:noProof/>
        </w:rPr>
        <w:t>(8): p. 1126-1132.</w:t>
      </w:r>
    </w:p>
    <w:p w14:paraId="3DB0CF26" w14:textId="77777777" w:rsidR="00722971" w:rsidRPr="00722971" w:rsidRDefault="00722971" w:rsidP="00722971">
      <w:pPr>
        <w:pStyle w:val="EndNoteBibliography"/>
        <w:spacing w:after="240"/>
        <w:ind w:left="720" w:hanging="720"/>
        <w:rPr>
          <w:noProof/>
        </w:rPr>
      </w:pPr>
      <w:r w:rsidRPr="00722971">
        <w:rPr>
          <w:noProof/>
        </w:rPr>
        <w:t>31.</w:t>
      </w:r>
      <w:r w:rsidRPr="00722971">
        <w:rPr>
          <w:noProof/>
        </w:rPr>
        <w:tab/>
        <w:t xml:space="preserve">Fadel, M., et al., </w:t>
      </w:r>
      <w:r w:rsidRPr="00722971">
        <w:rPr>
          <w:i/>
          <w:noProof/>
        </w:rPr>
        <w:t>Not just a research method: If used with caution, can job-exposure matrices be a useful tool in the practice of occupational medicine and public health?</w:t>
      </w:r>
      <w:r w:rsidRPr="00722971">
        <w:rPr>
          <w:noProof/>
        </w:rPr>
        <w:t xml:space="preserve"> Scandinavian journal of work, environment &amp; health, 2020. </w:t>
      </w:r>
      <w:r w:rsidRPr="00722971">
        <w:rPr>
          <w:b/>
          <w:noProof/>
        </w:rPr>
        <w:t>46</w:t>
      </w:r>
      <w:r w:rsidRPr="00722971">
        <w:rPr>
          <w:noProof/>
        </w:rPr>
        <w:t>(5): p. 552-553.</w:t>
      </w:r>
    </w:p>
    <w:p w14:paraId="21347F83" w14:textId="77777777" w:rsidR="00722971" w:rsidRPr="00722971" w:rsidRDefault="00722971" w:rsidP="00722971">
      <w:pPr>
        <w:pStyle w:val="EndNoteBibliography"/>
        <w:ind w:left="720" w:hanging="720"/>
        <w:rPr>
          <w:noProof/>
        </w:rPr>
      </w:pPr>
      <w:r w:rsidRPr="00722971">
        <w:rPr>
          <w:noProof/>
        </w:rPr>
        <w:t>32.</w:t>
      </w:r>
      <w:r w:rsidRPr="00722971">
        <w:rPr>
          <w:noProof/>
        </w:rPr>
        <w:tab/>
        <w:t xml:space="preserve">Peters, S., </w:t>
      </w:r>
      <w:r w:rsidRPr="00722971">
        <w:rPr>
          <w:i/>
          <w:noProof/>
        </w:rPr>
        <w:t>Although a valuable method in occupational epidemiology, job-exposure matrices are no magic fix.</w:t>
      </w:r>
      <w:r w:rsidRPr="00722971">
        <w:rPr>
          <w:noProof/>
        </w:rPr>
        <w:t xml:space="preserve"> Scandinavian journal of work, environment &amp; health, 2020. </w:t>
      </w:r>
      <w:r w:rsidRPr="00722971">
        <w:rPr>
          <w:b/>
          <w:noProof/>
        </w:rPr>
        <w:t>46</w:t>
      </w:r>
      <w:r w:rsidRPr="00722971">
        <w:rPr>
          <w:noProof/>
        </w:rPr>
        <w:t>(3): p. 231-234.</w:t>
      </w:r>
    </w:p>
    <w:p w14:paraId="31A5E1D8" w14:textId="571FE283" w:rsidR="00E83A35" w:rsidRPr="00EE5FA5" w:rsidRDefault="00BC1F7E" w:rsidP="00EE5FA5">
      <w:pPr>
        <w:pStyle w:val="EndNoteBibliography"/>
        <w:spacing w:after="240"/>
        <w:rPr>
          <w:rFonts w:asciiTheme="minorHAnsi" w:hAnsiTheme="minorHAnsi" w:cstheme="minorHAnsi"/>
          <w:noProof/>
        </w:rPr>
      </w:pPr>
      <w:r w:rsidRPr="001C48F6">
        <w:rPr>
          <w:rFonts w:asciiTheme="minorHAnsi" w:hAnsiTheme="minorHAnsi" w:cstheme="minorHAnsi"/>
          <w:color w:val="000000" w:themeColor="text1"/>
        </w:rPr>
        <w:fldChar w:fldCharType="end"/>
      </w:r>
    </w:p>
    <w:sectPr w:rsidR="00E83A35" w:rsidRPr="00EE5FA5" w:rsidSect="0073095C">
      <w:headerReference w:type="even" r:id="rId18"/>
      <w:headerReference w:type="default" r:id="rId19"/>
      <w:footerReference w:type="even" r:id="rId20"/>
      <w:footerReference w:type="default" r:id="rId21"/>
      <w:headerReference w:type="first" r:id="rId22"/>
      <w:footerReference w:type="first" r:id="rId23"/>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3A190" w14:textId="77777777" w:rsidR="00DA7B75" w:rsidRDefault="00DA7B75" w:rsidP="004A222E">
      <w:r>
        <w:separator/>
      </w:r>
    </w:p>
  </w:endnote>
  <w:endnote w:type="continuationSeparator" w:id="0">
    <w:p w14:paraId="512B3AB0" w14:textId="77777777" w:rsidR="00DA7B75" w:rsidRDefault="00DA7B75" w:rsidP="004A222E">
      <w:r>
        <w:continuationSeparator/>
      </w:r>
    </w:p>
  </w:endnote>
  <w:endnote w:type="continuationNotice" w:id="1">
    <w:p w14:paraId="37AB2B8F" w14:textId="77777777" w:rsidR="00DA7B75" w:rsidRDefault="00DA7B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Body)">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23949863"/>
      <w:docPartObj>
        <w:docPartGallery w:val="Page Numbers (Bottom of Page)"/>
        <w:docPartUnique/>
      </w:docPartObj>
    </w:sdtPr>
    <w:sdtContent>
      <w:p w14:paraId="16285EF7" w14:textId="33CA7BE4" w:rsidR="009D461A" w:rsidRDefault="009D461A" w:rsidP="00F445E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E83823D" w14:textId="77777777" w:rsidR="009D461A" w:rsidRDefault="009D461A" w:rsidP="00BA37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CADB1" w14:textId="5BCC2E54" w:rsidR="003448F4" w:rsidRPr="003448F4" w:rsidRDefault="003448F4">
    <w:pPr>
      <w:pStyle w:val="Footer"/>
      <w:rPr>
        <w:color w:val="D0CECE" w:themeColor="background2" w:themeShade="E6"/>
      </w:rPr>
    </w:pPr>
    <w:r w:rsidRPr="003448F4">
      <w:rPr>
        <w:color w:val="D0CECE" w:themeColor="background2" w:themeShade="E6"/>
      </w:rPr>
      <w:t>Document SOEM – Exp to SARS-CoV-2 by occupation  – 8.18.21</w:t>
    </w:r>
    <w:r>
      <w:rPr>
        <w:color w:val="D0CECE" w:themeColor="background2" w:themeShade="E6"/>
      </w:rPr>
      <w:t xml:space="preserve"> Final</w:t>
    </w:r>
  </w:p>
  <w:p w14:paraId="6AE8439E" w14:textId="6C119F5A" w:rsidR="009D461A" w:rsidRPr="004903C9" w:rsidRDefault="009D461A" w:rsidP="00BA3720">
    <w:pPr>
      <w:pStyle w:val="Footer"/>
      <w:ind w:right="360"/>
      <w:rPr>
        <w:color w:val="3B3838" w:themeColor="background2" w:themeShade="4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A661F" w14:textId="77777777" w:rsidR="003448F4" w:rsidRDefault="003448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DE586" w14:textId="77777777" w:rsidR="00DA7B75" w:rsidRDefault="00DA7B75" w:rsidP="004A222E">
      <w:r>
        <w:separator/>
      </w:r>
    </w:p>
  </w:footnote>
  <w:footnote w:type="continuationSeparator" w:id="0">
    <w:p w14:paraId="69433294" w14:textId="77777777" w:rsidR="00DA7B75" w:rsidRDefault="00DA7B75" w:rsidP="004A222E">
      <w:r>
        <w:continuationSeparator/>
      </w:r>
    </w:p>
  </w:footnote>
  <w:footnote w:type="continuationNotice" w:id="1">
    <w:p w14:paraId="3C907695" w14:textId="77777777" w:rsidR="00DA7B75" w:rsidRDefault="00DA7B75">
      <w:pPr>
        <w:spacing w:after="0" w:line="240" w:lineRule="auto"/>
      </w:pPr>
    </w:p>
  </w:footnote>
  <w:footnote w:id="2">
    <w:p w14:paraId="71F8445F" w14:textId="20881449" w:rsidR="009D461A" w:rsidRPr="00FB73A7" w:rsidRDefault="009D461A" w:rsidP="00DA2DAF">
      <w:pPr>
        <w:rPr>
          <w:rFonts w:cstheme="minorHAnsi"/>
          <w:sz w:val="18"/>
          <w:szCs w:val="18"/>
        </w:rPr>
      </w:pPr>
      <w:r>
        <w:rPr>
          <w:rStyle w:val="FootnoteReference"/>
        </w:rPr>
        <w:footnoteRef/>
      </w:r>
      <w:r w:rsidRPr="00520CCC">
        <w:rPr>
          <w:rFonts w:cstheme="minorHAnsi"/>
          <w:sz w:val="18"/>
          <w:szCs w:val="18"/>
        </w:rPr>
        <w:t xml:space="preserve">Health care occupations excluded from consideration included all occupations in SOC (2010 revision) Major Groups 29 and 31 and two additional SOC: Medical and Health Services Mangers (SOC: 11-9111) and </w:t>
      </w:r>
      <w:r w:rsidRPr="00520CCC">
        <w:rPr>
          <w:rFonts w:cstheme="minorHAnsi"/>
          <w:color w:val="000000"/>
          <w:sz w:val="18"/>
          <w:szCs w:val="18"/>
        </w:rPr>
        <w:t xml:space="preserve">Ambulance Drivers &amp; Attendants  (SOC: 53-3011). See </w:t>
      </w:r>
      <w:r>
        <w:rPr>
          <w:rFonts w:cstheme="minorHAnsi"/>
          <w:color w:val="000000"/>
          <w:sz w:val="18"/>
          <w:szCs w:val="18"/>
        </w:rPr>
        <w:t xml:space="preserve">Appendix 1. </w:t>
      </w:r>
      <w:r w:rsidRPr="007A6669">
        <w:rPr>
          <w:rFonts w:cstheme="minorHAnsi"/>
          <w:i/>
          <w:color w:val="000000"/>
          <w:sz w:val="18"/>
          <w:szCs w:val="18"/>
        </w:rPr>
        <w:t>Epidemiological Classification of Work-rel</w:t>
      </w:r>
      <w:r>
        <w:rPr>
          <w:rFonts w:cstheme="minorHAnsi"/>
          <w:i/>
          <w:color w:val="000000"/>
          <w:sz w:val="18"/>
          <w:szCs w:val="18"/>
        </w:rPr>
        <w:t>a</w:t>
      </w:r>
      <w:r w:rsidRPr="007A6669">
        <w:rPr>
          <w:rFonts w:cstheme="minorHAnsi"/>
          <w:i/>
          <w:color w:val="000000"/>
          <w:sz w:val="18"/>
          <w:szCs w:val="18"/>
        </w:rPr>
        <w:t>ted</w:t>
      </w:r>
      <w:r>
        <w:rPr>
          <w:rFonts w:cstheme="minorHAnsi"/>
          <w:i/>
          <w:color w:val="000000"/>
          <w:sz w:val="18"/>
          <w:szCs w:val="18"/>
        </w:rPr>
        <w:t xml:space="preserve">ness </w:t>
      </w:r>
      <w:r w:rsidRPr="00520CCC">
        <w:rPr>
          <w:rFonts w:cstheme="minorHAnsi"/>
          <w:color w:val="000000"/>
          <w:sz w:val="18"/>
          <w:szCs w:val="18"/>
        </w:rPr>
        <w:t>to CSTE surveillance case definition forCOVID-19</w:t>
      </w:r>
      <w:r w:rsidRPr="00EF43DF">
        <w:rPr>
          <w:rFonts w:cstheme="minorHAnsi"/>
          <w:color w:val="000000"/>
          <w:sz w:val="18"/>
          <w:szCs w:val="18"/>
        </w:rPr>
        <w:t xml:space="preserve">.[10] It should be noted that the CDC definition of health care workers is broader because it includes all workers </w:t>
      </w:r>
      <w:r w:rsidRPr="00FB73A7">
        <w:rPr>
          <w:rFonts w:cstheme="minorHAnsi"/>
          <w:color w:val="000000"/>
          <w:sz w:val="18"/>
          <w:szCs w:val="18"/>
        </w:rPr>
        <w:t xml:space="preserve">employed in health care facilities with potential for exposure to infect patients or materials, not just those in health care occupations. </w:t>
      </w:r>
      <w:hyperlink r:id="rId1" w:history="1">
        <w:r w:rsidRPr="00FB73A7">
          <w:rPr>
            <w:rStyle w:val="Hyperlink"/>
            <w:rFonts w:cstheme="minorHAnsi"/>
            <w:sz w:val="18"/>
            <w:szCs w:val="18"/>
          </w:rPr>
          <w:t>https://www.cdc.gov/coronavirus/2019-ncov/downloads/COVID-19-Persons-Under-Investigation-and-Case-Report-Form-Instructions.pdf</w:t>
        </w:r>
      </w:hyperlink>
      <w:r w:rsidRPr="00FB73A7">
        <w:rPr>
          <w:rFonts w:cstheme="minorHAnsi"/>
          <w:sz w:val="18"/>
          <w:szCs w:val="18"/>
        </w:rPr>
        <w:t>. Accessed 2-11.21.</w:t>
      </w:r>
    </w:p>
  </w:footnote>
  <w:footnote w:id="3">
    <w:p w14:paraId="17A0CB3A" w14:textId="5509EE72" w:rsidR="009D461A" w:rsidRPr="00DA2DAF" w:rsidRDefault="009D461A" w:rsidP="00DA2DAF">
      <w:pPr>
        <w:rPr>
          <w:rFonts w:cstheme="minorHAnsi"/>
          <w:sz w:val="18"/>
          <w:szCs w:val="18"/>
        </w:rPr>
      </w:pPr>
      <w:r>
        <w:rPr>
          <w:rStyle w:val="FootnoteReference"/>
        </w:rPr>
        <w:footnoteRef/>
      </w:r>
      <w:r>
        <w:t xml:space="preserve"> </w:t>
      </w:r>
      <w:r w:rsidRPr="00CF2408">
        <w:rPr>
          <w:rFonts w:cstheme="minorHAnsi"/>
          <w:sz w:val="18"/>
          <w:szCs w:val="18"/>
        </w:rPr>
        <w:t>Occupation is a person’s job.  It des</w:t>
      </w:r>
      <w:r>
        <w:rPr>
          <w:rFonts w:cstheme="minorHAnsi"/>
          <w:sz w:val="18"/>
          <w:szCs w:val="18"/>
        </w:rPr>
        <w:t>cribes</w:t>
      </w:r>
      <w:r w:rsidRPr="00CF2408">
        <w:rPr>
          <w:rFonts w:cstheme="minorHAnsi"/>
          <w:sz w:val="18"/>
          <w:szCs w:val="18"/>
        </w:rPr>
        <w:t xml:space="preserve"> the kind of work the person does (e.g</w:t>
      </w:r>
      <w:r>
        <w:rPr>
          <w:rFonts w:cstheme="minorHAnsi"/>
          <w:sz w:val="18"/>
          <w:szCs w:val="18"/>
        </w:rPr>
        <w:t>.,</w:t>
      </w:r>
      <w:r w:rsidRPr="00CF2408">
        <w:rPr>
          <w:rFonts w:cstheme="minorHAnsi"/>
          <w:sz w:val="18"/>
          <w:szCs w:val="18"/>
        </w:rPr>
        <w:t xml:space="preserve"> regis</w:t>
      </w:r>
      <w:r>
        <w:rPr>
          <w:rFonts w:cstheme="minorHAnsi"/>
          <w:sz w:val="18"/>
          <w:szCs w:val="18"/>
        </w:rPr>
        <w:t>tered</w:t>
      </w:r>
      <w:r w:rsidRPr="00CF2408">
        <w:rPr>
          <w:rFonts w:cstheme="minorHAnsi"/>
          <w:sz w:val="18"/>
          <w:szCs w:val="18"/>
        </w:rPr>
        <w:t xml:space="preserve"> nurse, janitor, cashier</w:t>
      </w:r>
      <w:r>
        <w:rPr>
          <w:rFonts w:cstheme="minorHAnsi"/>
          <w:sz w:val="18"/>
          <w:szCs w:val="18"/>
        </w:rPr>
        <w:t>,</w:t>
      </w:r>
      <w:r w:rsidRPr="00CF2408">
        <w:rPr>
          <w:rFonts w:cstheme="minorHAnsi"/>
          <w:sz w:val="18"/>
          <w:szCs w:val="18"/>
        </w:rPr>
        <w:t xml:space="preserve"> auto mech</w:t>
      </w:r>
      <w:r>
        <w:rPr>
          <w:rFonts w:cstheme="minorHAnsi"/>
          <w:sz w:val="18"/>
          <w:szCs w:val="18"/>
        </w:rPr>
        <w:t>a</w:t>
      </w:r>
      <w:r w:rsidRPr="00CF2408">
        <w:rPr>
          <w:rFonts w:cstheme="minorHAnsi"/>
          <w:sz w:val="18"/>
          <w:szCs w:val="18"/>
        </w:rPr>
        <w:t>ni</w:t>
      </w:r>
      <w:r>
        <w:rPr>
          <w:rFonts w:cstheme="minorHAnsi"/>
          <w:sz w:val="18"/>
          <w:szCs w:val="18"/>
        </w:rPr>
        <w:t>c</w:t>
      </w:r>
      <w:r w:rsidRPr="00CF2408">
        <w:rPr>
          <w:rFonts w:cstheme="minorHAnsi"/>
          <w:sz w:val="18"/>
          <w:szCs w:val="18"/>
        </w:rPr>
        <w:t>.</w:t>
      </w:r>
      <w:r>
        <w:rPr>
          <w:rFonts w:cstheme="minorHAnsi"/>
          <w:sz w:val="18"/>
          <w:szCs w:val="18"/>
        </w:rPr>
        <w:t xml:space="preserve">) </w:t>
      </w:r>
      <w:r w:rsidRPr="00CF2408">
        <w:rPr>
          <w:rFonts w:cstheme="minorHAnsi"/>
          <w:sz w:val="18"/>
          <w:szCs w:val="18"/>
        </w:rPr>
        <w:t xml:space="preserve"> Industry is the type of business in which the person works. It is not name of the employer but describe</w:t>
      </w:r>
      <w:r>
        <w:rPr>
          <w:rFonts w:cstheme="minorHAnsi"/>
          <w:sz w:val="18"/>
          <w:szCs w:val="18"/>
        </w:rPr>
        <w:t>s</w:t>
      </w:r>
      <w:r w:rsidRPr="00CF2408">
        <w:rPr>
          <w:rFonts w:cstheme="minorHAnsi"/>
          <w:sz w:val="18"/>
          <w:szCs w:val="18"/>
        </w:rPr>
        <w:t xml:space="preserve"> what the business does</w:t>
      </w:r>
      <w:r>
        <w:rPr>
          <w:rFonts w:cstheme="minorHAnsi"/>
          <w:sz w:val="18"/>
          <w:szCs w:val="18"/>
        </w:rPr>
        <w:t xml:space="preserve"> (e.g., hospital, elementary school, clothing manufacturing, restaurant.)</w:t>
      </w:r>
      <w:r w:rsidRPr="00CF2408">
        <w:rPr>
          <w:rFonts w:cstheme="minorHAnsi"/>
          <w:sz w:val="18"/>
          <w:szCs w:val="18"/>
        </w:rPr>
        <w:t xml:space="preserve">  As with occupation there are two standard c</w:t>
      </w:r>
      <w:r>
        <w:rPr>
          <w:rFonts w:cstheme="minorHAnsi"/>
          <w:sz w:val="18"/>
          <w:szCs w:val="18"/>
        </w:rPr>
        <w:t>oding</w:t>
      </w:r>
      <w:r w:rsidRPr="00CF2408">
        <w:rPr>
          <w:rFonts w:cstheme="minorHAnsi"/>
          <w:sz w:val="18"/>
          <w:szCs w:val="18"/>
        </w:rPr>
        <w:t xml:space="preserve"> sy</w:t>
      </w:r>
      <w:r>
        <w:rPr>
          <w:rFonts w:cstheme="minorHAnsi"/>
          <w:sz w:val="18"/>
          <w:szCs w:val="18"/>
        </w:rPr>
        <w:t>s</w:t>
      </w:r>
      <w:r w:rsidRPr="00CF2408">
        <w:rPr>
          <w:rFonts w:cstheme="minorHAnsi"/>
          <w:sz w:val="18"/>
          <w:szCs w:val="18"/>
        </w:rPr>
        <w:t>tems for industry used in the U.S</w:t>
      </w:r>
      <w:r>
        <w:rPr>
          <w:rFonts w:cstheme="minorHAnsi"/>
          <w:sz w:val="18"/>
          <w:szCs w:val="18"/>
        </w:rPr>
        <w:t xml:space="preserve">. </w:t>
      </w:r>
      <w:r w:rsidRPr="00CF2408">
        <w:rPr>
          <w:rFonts w:cstheme="minorHAnsi"/>
          <w:sz w:val="18"/>
          <w:szCs w:val="18"/>
        </w:rPr>
        <w:t>which can be cross-wal</w:t>
      </w:r>
      <w:r>
        <w:rPr>
          <w:rFonts w:cstheme="minorHAnsi"/>
          <w:sz w:val="18"/>
          <w:szCs w:val="18"/>
        </w:rPr>
        <w:t>k</w:t>
      </w:r>
      <w:r w:rsidRPr="00CF2408">
        <w:rPr>
          <w:rFonts w:cstheme="minorHAnsi"/>
          <w:sz w:val="18"/>
          <w:szCs w:val="18"/>
        </w:rPr>
        <w:t>ed</w:t>
      </w:r>
      <w:r>
        <w:rPr>
          <w:rFonts w:cstheme="minorHAnsi"/>
          <w:sz w:val="18"/>
          <w:szCs w:val="18"/>
        </w:rPr>
        <w:t>: t</w:t>
      </w:r>
      <w:r w:rsidRPr="00CF2408">
        <w:rPr>
          <w:rFonts w:cstheme="minorHAnsi"/>
          <w:sz w:val="18"/>
          <w:szCs w:val="18"/>
        </w:rPr>
        <w:t>he North American Ind</w:t>
      </w:r>
      <w:r>
        <w:rPr>
          <w:rFonts w:cstheme="minorHAnsi"/>
          <w:sz w:val="18"/>
          <w:szCs w:val="18"/>
        </w:rPr>
        <w:t>ust</w:t>
      </w:r>
      <w:r w:rsidRPr="00CF2408">
        <w:rPr>
          <w:rFonts w:cstheme="minorHAnsi"/>
          <w:sz w:val="18"/>
          <w:szCs w:val="18"/>
        </w:rPr>
        <w:t>ry Classifica</w:t>
      </w:r>
      <w:r>
        <w:rPr>
          <w:rFonts w:cstheme="minorHAnsi"/>
          <w:sz w:val="18"/>
          <w:szCs w:val="18"/>
        </w:rPr>
        <w:t>ti</w:t>
      </w:r>
      <w:r w:rsidRPr="00CF2408">
        <w:rPr>
          <w:rFonts w:cstheme="minorHAnsi"/>
          <w:sz w:val="18"/>
          <w:szCs w:val="18"/>
        </w:rPr>
        <w:t>on System</w:t>
      </w:r>
      <w:r>
        <w:rPr>
          <w:rFonts w:cstheme="minorHAnsi"/>
          <w:sz w:val="18"/>
          <w:szCs w:val="18"/>
        </w:rPr>
        <w:t xml:space="preserve"> (NAICS) </w:t>
      </w:r>
      <w:r w:rsidRPr="00CF2408">
        <w:rPr>
          <w:rFonts w:cstheme="minorHAnsi"/>
          <w:sz w:val="18"/>
          <w:szCs w:val="18"/>
        </w:rPr>
        <w:t xml:space="preserve">used </w:t>
      </w:r>
      <w:r>
        <w:rPr>
          <w:rFonts w:cstheme="minorHAnsi"/>
          <w:sz w:val="18"/>
          <w:szCs w:val="18"/>
        </w:rPr>
        <w:t xml:space="preserve">in </w:t>
      </w:r>
      <w:r w:rsidRPr="00CF2408">
        <w:rPr>
          <w:rFonts w:cstheme="minorHAnsi"/>
          <w:sz w:val="18"/>
          <w:szCs w:val="18"/>
        </w:rPr>
        <w:t>conjunction with SOC</w:t>
      </w:r>
      <w:r>
        <w:rPr>
          <w:rFonts w:cstheme="minorHAnsi"/>
          <w:sz w:val="18"/>
          <w:szCs w:val="18"/>
        </w:rPr>
        <w:t>; and t</w:t>
      </w:r>
      <w:r w:rsidRPr="00CF2408">
        <w:rPr>
          <w:rFonts w:cstheme="minorHAnsi"/>
          <w:sz w:val="18"/>
          <w:szCs w:val="18"/>
        </w:rPr>
        <w:t>he Census Industry Classifi</w:t>
      </w:r>
      <w:r>
        <w:rPr>
          <w:rFonts w:cstheme="minorHAnsi"/>
          <w:sz w:val="18"/>
          <w:szCs w:val="18"/>
        </w:rPr>
        <w:t>cation</w:t>
      </w:r>
      <w:r w:rsidRPr="00CF2408">
        <w:rPr>
          <w:rFonts w:cstheme="minorHAnsi"/>
          <w:sz w:val="18"/>
          <w:szCs w:val="18"/>
        </w:rPr>
        <w:t xml:space="preserve"> used in conjunction with COC. </w:t>
      </w:r>
      <w:hyperlink r:id="rId2" w:history="1">
        <w:r w:rsidRPr="00A06B49">
          <w:rPr>
            <w:rStyle w:val="Hyperlink"/>
            <w:rFonts w:cstheme="minorHAnsi"/>
            <w:sz w:val="18"/>
            <w:szCs w:val="18"/>
          </w:rPr>
          <w:t>https://www.cdc.gov/niosh/topics/coding/collect.html</w:t>
        </w:r>
      </w:hyperlink>
    </w:p>
  </w:footnote>
  <w:footnote w:id="4">
    <w:p w14:paraId="7F57BA92" w14:textId="728EB940" w:rsidR="009D461A" w:rsidRPr="00E60F8C" w:rsidRDefault="009D461A" w:rsidP="0069380A">
      <w:pPr>
        <w:rPr>
          <w:color w:val="000000" w:themeColor="text1"/>
          <w:sz w:val="18"/>
          <w:szCs w:val="18"/>
        </w:rPr>
      </w:pPr>
      <w:r w:rsidRPr="00E60F8C">
        <w:rPr>
          <w:rStyle w:val="FootnoteReference"/>
          <w:sz w:val="18"/>
          <w:szCs w:val="18"/>
        </w:rPr>
        <w:footnoteRef/>
      </w:r>
      <w:r w:rsidRPr="00E60F8C">
        <w:rPr>
          <w:sz w:val="18"/>
          <w:szCs w:val="18"/>
        </w:rPr>
        <w:t xml:space="preserve"> The O*NET SOC taxonomy is based on SOC system published by the Office of Management and Budget. In some cases O*NET describes occupations at a more detailed level than SOC to reflect needed occupational specificity.   These additional more detailed occupations have 8-digit SOC codes nested within the overall SOC system (detailed O*NET SOC codes). O*NET </w:t>
      </w:r>
      <w:r w:rsidRPr="00B90853">
        <w:rPr>
          <w:sz w:val="18"/>
          <w:szCs w:val="18"/>
        </w:rPr>
        <w:t xml:space="preserve">databases 24.3 </w:t>
      </w:r>
      <w:r w:rsidRPr="00E4571E">
        <w:rPr>
          <w:sz w:val="18"/>
          <w:szCs w:val="18"/>
        </w:rPr>
        <w:t>and 25.0 and provide data on 968 detailed SOC CODES. Excluded are military titles, legislators and 46 other SOC “all other occupation</w:t>
      </w:r>
      <w:r w:rsidRPr="00A2143C">
        <w:rPr>
          <w:sz w:val="18"/>
          <w:szCs w:val="18"/>
        </w:rPr>
        <w:t xml:space="preserve">” titles, of which 45 were non-health care occupations.   </w:t>
      </w:r>
      <w:hyperlink r:id="rId3" w:history="1">
        <w:r w:rsidRPr="00A2143C">
          <w:rPr>
            <w:rStyle w:val="Hyperlink"/>
            <w:sz w:val="18"/>
            <w:szCs w:val="18"/>
          </w:rPr>
          <w:t>https://www.onetcenter.org/taxonomy.html</w:t>
        </w:r>
      </w:hyperlink>
      <w:r w:rsidRPr="00A2143C">
        <w:rPr>
          <w:rStyle w:val="Hyperlink"/>
          <w:sz w:val="18"/>
          <w:szCs w:val="18"/>
        </w:rPr>
        <w:t xml:space="preserve">. </w:t>
      </w:r>
      <w:r w:rsidRPr="00A2143C">
        <w:rPr>
          <w:rStyle w:val="Hyperlink"/>
          <w:color w:val="000000" w:themeColor="text1"/>
          <w:sz w:val="18"/>
          <w:szCs w:val="18"/>
        </w:rPr>
        <w:t>Accessed 10/7/20.</w:t>
      </w:r>
    </w:p>
  </w:footnote>
  <w:footnote w:id="5">
    <w:p w14:paraId="7C41A0B4" w14:textId="4BF0C3F9" w:rsidR="009D461A" w:rsidRPr="00E60F8C" w:rsidRDefault="009D461A">
      <w:pPr>
        <w:pStyle w:val="FootnoteText"/>
        <w:rPr>
          <w:sz w:val="18"/>
          <w:szCs w:val="18"/>
        </w:rPr>
      </w:pPr>
      <w:r w:rsidRPr="00E60F8C">
        <w:rPr>
          <w:rStyle w:val="FootnoteReference"/>
          <w:sz w:val="18"/>
          <w:szCs w:val="18"/>
        </w:rPr>
        <w:footnoteRef/>
      </w:r>
      <w:r w:rsidRPr="00E60F8C">
        <w:rPr>
          <w:sz w:val="18"/>
          <w:szCs w:val="18"/>
        </w:rPr>
        <w:t xml:space="preserve"> 6-digit SOC</w:t>
      </w:r>
      <w:r>
        <w:rPr>
          <w:sz w:val="18"/>
          <w:szCs w:val="18"/>
        </w:rPr>
        <w:t xml:space="preserve"> (</w:t>
      </w:r>
      <w:r w:rsidRPr="00E60F8C">
        <w:rPr>
          <w:sz w:val="18"/>
          <w:szCs w:val="18"/>
        </w:rPr>
        <w:t>2010 revision</w:t>
      </w:r>
      <w:r>
        <w:rPr>
          <w:sz w:val="18"/>
          <w:szCs w:val="18"/>
        </w:rPr>
        <w:t xml:space="preserve">) </w:t>
      </w:r>
      <w:r w:rsidRPr="00E60F8C">
        <w:rPr>
          <w:sz w:val="18"/>
          <w:szCs w:val="18"/>
        </w:rPr>
        <w:t>and 4-digit COC</w:t>
      </w:r>
      <w:r>
        <w:rPr>
          <w:sz w:val="18"/>
          <w:szCs w:val="18"/>
        </w:rPr>
        <w:t xml:space="preserve"> (</w:t>
      </w:r>
      <w:r w:rsidRPr="00E60F8C">
        <w:rPr>
          <w:sz w:val="18"/>
          <w:szCs w:val="18"/>
        </w:rPr>
        <w:t>2010 revision</w:t>
      </w:r>
      <w:r>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2054" w14:textId="77777777" w:rsidR="003448F4" w:rsidRDefault="003448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C7773" w14:textId="35CB3475" w:rsidR="009D461A" w:rsidRPr="00866B1D" w:rsidRDefault="009D461A" w:rsidP="00866B1D">
    <w:pPr>
      <w:pStyle w:val="Header"/>
      <w:jc w:val="right"/>
      <w:rPr>
        <w:color w:val="D0CECE" w:themeColor="background2" w:themeShade="E6"/>
      </w:rPr>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FC947" w14:textId="77777777" w:rsidR="003448F4" w:rsidRDefault="003448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4F47"/>
    <w:multiLevelType w:val="hybridMultilevel"/>
    <w:tmpl w:val="4A9833F2"/>
    <w:lvl w:ilvl="0" w:tplc="ABB2589A">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627BDF"/>
    <w:multiLevelType w:val="hybridMultilevel"/>
    <w:tmpl w:val="16843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8299B"/>
    <w:multiLevelType w:val="hybridMultilevel"/>
    <w:tmpl w:val="9466B0F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A6610C4"/>
    <w:multiLevelType w:val="hybridMultilevel"/>
    <w:tmpl w:val="FF7A9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5797F"/>
    <w:multiLevelType w:val="hybridMultilevel"/>
    <w:tmpl w:val="DFF41E4C"/>
    <w:lvl w:ilvl="0" w:tplc="ABB2589A">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9163D4"/>
    <w:multiLevelType w:val="hybridMultilevel"/>
    <w:tmpl w:val="FFAE5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831295"/>
    <w:multiLevelType w:val="hybridMultilevel"/>
    <w:tmpl w:val="3B5EFD5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4C723E9"/>
    <w:multiLevelType w:val="hybridMultilevel"/>
    <w:tmpl w:val="A2BA6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894E59"/>
    <w:multiLevelType w:val="hybridMultilevel"/>
    <w:tmpl w:val="8C725222"/>
    <w:lvl w:ilvl="0" w:tplc="1F5EE3B8">
      <w:start w:val="1"/>
      <w:numFmt w:val="decimal"/>
      <w:lvlText w:val="%1."/>
      <w:lvlJc w:val="left"/>
      <w:pPr>
        <w:ind w:left="360" w:hanging="360"/>
      </w:pPr>
      <w:rPr>
        <w:rFonts w:hint="default"/>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E4BC2"/>
    <w:multiLevelType w:val="hybridMultilevel"/>
    <w:tmpl w:val="2E889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F34D64"/>
    <w:multiLevelType w:val="hybridMultilevel"/>
    <w:tmpl w:val="563CD6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DBF4E6F"/>
    <w:multiLevelType w:val="hybridMultilevel"/>
    <w:tmpl w:val="60B215AC"/>
    <w:lvl w:ilvl="0" w:tplc="04090001">
      <w:start w:val="1"/>
      <w:numFmt w:val="bullet"/>
      <w:lvlText w:val=""/>
      <w:lvlJc w:val="left"/>
      <w:pPr>
        <w:ind w:left="450" w:hanging="360"/>
      </w:pPr>
      <w:rPr>
        <w:rFonts w:ascii="Symbol" w:hAnsi="Symbol" w:hint="default"/>
      </w:rPr>
    </w:lvl>
    <w:lvl w:ilvl="1" w:tplc="04090001">
      <w:start w:val="1"/>
      <w:numFmt w:val="bullet"/>
      <w:lvlText w:val=""/>
      <w:lvlJc w:val="left"/>
      <w:pPr>
        <w:ind w:left="1170" w:hanging="360"/>
      </w:pPr>
      <w:rPr>
        <w:rFonts w:ascii="Symbol" w:hAnsi="Symbol"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56A96B0C"/>
    <w:multiLevelType w:val="hybridMultilevel"/>
    <w:tmpl w:val="BE5AFD8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450" w:hanging="360"/>
      </w:pPr>
    </w:lvl>
    <w:lvl w:ilvl="2" w:tplc="0409001B" w:tentative="1">
      <w:start w:val="1"/>
      <w:numFmt w:val="lowerRoman"/>
      <w:lvlText w:val="%3."/>
      <w:lvlJc w:val="right"/>
      <w:pPr>
        <w:ind w:left="270" w:hanging="180"/>
      </w:pPr>
    </w:lvl>
    <w:lvl w:ilvl="3" w:tplc="0409000F" w:tentative="1">
      <w:start w:val="1"/>
      <w:numFmt w:val="decimal"/>
      <w:lvlText w:val="%4."/>
      <w:lvlJc w:val="left"/>
      <w:pPr>
        <w:ind w:left="990" w:hanging="360"/>
      </w:pPr>
    </w:lvl>
    <w:lvl w:ilvl="4" w:tplc="04090019" w:tentative="1">
      <w:start w:val="1"/>
      <w:numFmt w:val="lowerLetter"/>
      <w:lvlText w:val="%5."/>
      <w:lvlJc w:val="left"/>
      <w:pPr>
        <w:ind w:left="1710" w:hanging="360"/>
      </w:pPr>
    </w:lvl>
    <w:lvl w:ilvl="5" w:tplc="0409001B" w:tentative="1">
      <w:start w:val="1"/>
      <w:numFmt w:val="lowerRoman"/>
      <w:lvlText w:val="%6."/>
      <w:lvlJc w:val="right"/>
      <w:pPr>
        <w:ind w:left="2430" w:hanging="180"/>
      </w:pPr>
    </w:lvl>
    <w:lvl w:ilvl="6" w:tplc="0409000F" w:tentative="1">
      <w:start w:val="1"/>
      <w:numFmt w:val="decimal"/>
      <w:lvlText w:val="%7."/>
      <w:lvlJc w:val="left"/>
      <w:pPr>
        <w:ind w:left="3150" w:hanging="360"/>
      </w:pPr>
    </w:lvl>
    <w:lvl w:ilvl="7" w:tplc="04090019" w:tentative="1">
      <w:start w:val="1"/>
      <w:numFmt w:val="lowerLetter"/>
      <w:lvlText w:val="%8."/>
      <w:lvlJc w:val="left"/>
      <w:pPr>
        <w:ind w:left="3870" w:hanging="360"/>
      </w:pPr>
    </w:lvl>
    <w:lvl w:ilvl="8" w:tplc="0409001B" w:tentative="1">
      <w:start w:val="1"/>
      <w:numFmt w:val="lowerRoman"/>
      <w:lvlText w:val="%9."/>
      <w:lvlJc w:val="right"/>
      <w:pPr>
        <w:ind w:left="4590" w:hanging="180"/>
      </w:pPr>
    </w:lvl>
  </w:abstractNum>
  <w:abstractNum w:abstractNumId="13" w15:restartNumberingAfterBreak="0">
    <w:nsid w:val="5B853FB8"/>
    <w:multiLevelType w:val="hybridMultilevel"/>
    <w:tmpl w:val="844CC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71748C"/>
    <w:multiLevelType w:val="hybridMultilevel"/>
    <w:tmpl w:val="DF625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E30A55"/>
    <w:multiLevelType w:val="hybridMultilevel"/>
    <w:tmpl w:val="CFACADE8"/>
    <w:lvl w:ilvl="0" w:tplc="28BAE686">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EB6B36"/>
    <w:multiLevelType w:val="hybridMultilevel"/>
    <w:tmpl w:val="87126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4E4C99"/>
    <w:multiLevelType w:val="hybridMultilevel"/>
    <w:tmpl w:val="029C60CE"/>
    <w:lvl w:ilvl="0" w:tplc="565201A8">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7"/>
  </w:num>
  <w:num w:numId="2">
    <w:abstractNumId w:val="4"/>
  </w:num>
  <w:num w:numId="3">
    <w:abstractNumId w:val="10"/>
  </w:num>
  <w:num w:numId="4">
    <w:abstractNumId w:val="8"/>
  </w:num>
  <w:num w:numId="5">
    <w:abstractNumId w:val="16"/>
  </w:num>
  <w:num w:numId="6">
    <w:abstractNumId w:val="7"/>
  </w:num>
  <w:num w:numId="7">
    <w:abstractNumId w:val="2"/>
  </w:num>
  <w:num w:numId="8">
    <w:abstractNumId w:val="11"/>
  </w:num>
  <w:num w:numId="9">
    <w:abstractNumId w:val="0"/>
  </w:num>
  <w:num w:numId="10">
    <w:abstractNumId w:val="6"/>
  </w:num>
  <w:num w:numId="11">
    <w:abstractNumId w:val="12"/>
  </w:num>
  <w:num w:numId="12">
    <w:abstractNumId w:val="13"/>
  </w:num>
  <w:num w:numId="13">
    <w:abstractNumId w:val="3"/>
  </w:num>
  <w:num w:numId="14">
    <w:abstractNumId w:val="15"/>
  </w:num>
  <w:num w:numId="15">
    <w:abstractNumId w:val="14"/>
  </w:num>
  <w:num w:numId="16">
    <w:abstractNumId w:val="9"/>
  </w:num>
  <w:num w:numId="17">
    <w:abstractNumId w:val="5"/>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Numbere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1&lt;/SpaceAfter&gt;&lt;HyperlinksEnabled&gt;0&lt;/HyperlinksEnabled&gt;&lt;HyperlinksVisible&gt;0&lt;/HyperlinksVisible&gt;&lt;EnableBibliographyCategories&gt;0&lt;/EnableBibliographyCategories&gt;&lt;/ENLayout&gt;"/>
    <w:docVar w:name="EN.Libraries" w:val="&lt;Libraries&gt;&lt;item db-id=&quot;fev0zvzp3deftke0v2250x5xfrd59szftaet&quot;&gt;CSTE Risk Factors&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8&lt;/item&gt;&lt;item&gt;20&lt;/item&gt;&lt;item&gt;21&lt;/item&gt;&lt;item&gt;22&lt;/item&gt;&lt;item&gt;23&lt;/item&gt;&lt;item&gt;24&lt;/item&gt;&lt;item&gt;25&lt;/item&gt;&lt;item&gt;27&lt;/item&gt;&lt;item&gt;28&lt;/item&gt;&lt;item&gt;29&lt;/item&gt;&lt;item&gt;30&lt;/item&gt;&lt;item&gt;31&lt;/item&gt;&lt;item&gt;32&lt;/item&gt;&lt;item&gt;33&lt;/item&gt;&lt;item&gt;34&lt;/item&gt;&lt;item&gt;35&lt;/item&gt;&lt;/record-ids&gt;&lt;/item&gt;&lt;/Libraries&gt;"/>
  </w:docVars>
  <w:rsids>
    <w:rsidRoot w:val="004A222E"/>
    <w:rsid w:val="00002281"/>
    <w:rsid w:val="00002345"/>
    <w:rsid w:val="00005D3B"/>
    <w:rsid w:val="000069A9"/>
    <w:rsid w:val="00007CCB"/>
    <w:rsid w:val="00016E62"/>
    <w:rsid w:val="00021D3D"/>
    <w:rsid w:val="0002319C"/>
    <w:rsid w:val="00027A71"/>
    <w:rsid w:val="00032D3B"/>
    <w:rsid w:val="000338F6"/>
    <w:rsid w:val="00035885"/>
    <w:rsid w:val="000368CA"/>
    <w:rsid w:val="00040FE4"/>
    <w:rsid w:val="000500F4"/>
    <w:rsid w:val="000511C9"/>
    <w:rsid w:val="0005195D"/>
    <w:rsid w:val="000527B1"/>
    <w:rsid w:val="00063793"/>
    <w:rsid w:val="00064891"/>
    <w:rsid w:val="00065085"/>
    <w:rsid w:val="0006542D"/>
    <w:rsid w:val="00066951"/>
    <w:rsid w:val="0007032A"/>
    <w:rsid w:val="0007597C"/>
    <w:rsid w:val="00084850"/>
    <w:rsid w:val="00084B17"/>
    <w:rsid w:val="00092B03"/>
    <w:rsid w:val="000A2660"/>
    <w:rsid w:val="000A47A4"/>
    <w:rsid w:val="000A579C"/>
    <w:rsid w:val="000A6466"/>
    <w:rsid w:val="000B0312"/>
    <w:rsid w:val="000B1372"/>
    <w:rsid w:val="000B6362"/>
    <w:rsid w:val="000C6821"/>
    <w:rsid w:val="000D2B70"/>
    <w:rsid w:val="000D62B2"/>
    <w:rsid w:val="000E557E"/>
    <w:rsid w:val="000E715F"/>
    <w:rsid w:val="000E72E1"/>
    <w:rsid w:val="00103029"/>
    <w:rsid w:val="00106961"/>
    <w:rsid w:val="00106B18"/>
    <w:rsid w:val="00113DCE"/>
    <w:rsid w:val="00115A5D"/>
    <w:rsid w:val="00116435"/>
    <w:rsid w:val="001202F8"/>
    <w:rsid w:val="00120AD0"/>
    <w:rsid w:val="00120E33"/>
    <w:rsid w:val="00124172"/>
    <w:rsid w:val="00127AA4"/>
    <w:rsid w:val="00130250"/>
    <w:rsid w:val="00131847"/>
    <w:rsid w:val="00132D2E"/>
    <w:rsid w:val="001345C6"/>
    <w:rsid w:val="0014074A"/>
    <w:rsid w:val="0014216C"/>
    <w:rsid w:val="0014250D"/>
    <w:rsid w:val="001462B5"/>
    <w:rsid w:val="0015019D"/>
    <w:rsid w:val="00150A2D"/>
    <w:rsid w:val="00155920"/>
    <w:rsid w:val="00156ABA"/>
    <w:rsid w:val="001578F2"/>
    <w:rsid w:val="00161425"/>
    <w:rsid w:val="00163B1B"/>
    <w:rsid w:val="00164176"/>
    <w:rsid w:val="00164E40"/>
    <w:rsid w:val="00166335"/>
    <w:rsid w:val="0016654D"/>
    <w:rsid w:val="001677F6"/>
    <w:rsid w:val="00173D31"/>
    <w:rsid w:val="00176C9B"/>
    <w:rsid w:val="001812A9"/>
    <w:rsid w:val="00181541"/>
    <w:rsid w:val="001818D0"/>
    <w:rsid w:val="00187688"/>
    <w:rsid w:val="00192F0A"/>
    <w:rsid w:val="00194D17"/>
    <w:rsid w:val="001A2CD0"/>
    <w:rsid w:val="001A4E44"/>
    <w:rsid w:val="001B153C"/>
    <w:rsid w:val="001B61B5"/>
    <w:rsid w:val="001C1057"/>
    <w:rsid w:val="001C48F6"/>
    <w:rsid w:val="001C6373"/>
    <w:rsid w:val="001D082B"/>
    <w:rsid w:val="001D0C8A"/>
    <w:rsid w:val="001D0E9B"/>
    <w:rsid w:val="001D231E"/>
    <w:rsid w:val="001D437D"/>
    <w:rsid w:val="001E4ABB"/>
    <w:rsid w:val="001E5C0B"/>
    <w:rsid w:val="001E6FAC"/>
    <w:rsid w:val="001F58A3"/>
    <w:rsid w:val="00200D1C"/>
    <w:rsid w:val="002019DB"/>
    <w:rsid w:val="0021120E"/>
    <w:rsid w:val="002124BF"/>
    <w:rsid w:val="002164BF"/>
    <w:rsid w:val="00221073"/>
    <w:rsid w:val="00234ECB"/>
    <w:rsid w:val="00244A23"/>
    <w:rsid w:val="00246961"/>
    <w:rsid w:val="00247A24"/>
    <w:rsid w:val="0025368A"/>
    <w:rsid w:val="00257C15"/>
    <w:rsid w:val="002674F0"/>
    <w:rsid w:val="0027640C"/>
    <w:rsid w:val="00284FF1"/>
    <w:rsid w:val="00290CF5"/>
    <w:rsid w:val="00292A20"/>
    <w:rsid w:val="00294887"/>
    <w:rsid w:val="002A174A"/>
    <w:rsid w:val="002A222B"/>
    <w:rsid w:val="002A59F4"/>
    <w:rsid w:val="002A6D47"/>
    <w:rsid w:val="002B00BD"/>
    <w:rsid w:val="002B0564"/>
    <w:rsid w:val="002B0903"/>
    <w:rsid w:val="002B6100"/>
    <w:rsid w:val="002B7E92"/>
    <w:rsid w:val="002C17DD"/>
    <w:rsid w:val="002C3CE7"/>
    <w:rsid w:val="002C4E5D"/>
    <w:rsid w:val="002C6649"/>
    <w:rsid w:val="002D0B41"/>
    <w:rsid w:val="002D126E"/>
    <w:rsid w:val="002D145F"/>
    <w:rsid w:val="002D28C9"/>
    <w:rsid w:val="002D2E74"/>
    <w:rsid w:val="002D3130"/>
    <w:rsid w:val="002E4737"/>
    <w:rsid w:val="002E481E"/>
    <w:rsid w:val="002F2033"/>
    <w:rsid w:val="002F4F00"/>
    <w:rsid w:val="002F7BD3"/>
    <w:rsid w:val="00304333"/>
    <w:rsid w:val="00305837"/>
    <w:rsid w:val="003103EA"/>
    <w:rsid w:val="00316633"/>
    <w:rsid w:val="00321C1E"/>
    <w:rsid w:val="00321F47"/>
    <w:rsid w:val="00322018"/>
    <w:rsid w:val="00326465"/>
    <w:rsid w:val="003276EA"/>
    <w:rsid w:val="00330736"/>
    <w:rsid w:val="003407B8"/>
    <w:rsid w:val="003448F4"/>
    <w:rsid w:val="0034666E"/>
    <w:rsid w:val="00346E07"/>
    <w:rsid w:val="0035694C"/>
    <w:rsid w:val="00370134"/>
    <w:rsid w:val="00374C53"/>
    <w:rsid w:val="00375067"/>
    <w:rsid w:val="003824FB"/>
    <w:rsid w:val="00382A25"/>
    <w:rsid w:val="00386BDE"/>
    <w:rsid w:val="003872C0"/>
    <w:rsid w:val="00390CAD"/>
    <w:rsid w:val="003941C9"/>
    <w:rsid w:val="003952E7"/>
    <w:rsid w:val="00396F13"/>
    <w:rsid w:val="003A77E0"/>
    <w:rsid w:val="003A7C89"/>
    <w:rsid w:val="003B2D3C"/>
    <w:rsid w:val="003B7248"/>
    <w:rsid w:val="003C1062"/>
    <w:rsid w:val="003C33E1"/>
    <w:rsid w:val="003D3983"/>
    <w:rsid w:val="003D52CA"/>
    <w:rsid w:val="003E01F0"/>
    <w:rsid w:val="003E2F59"/>
    <w:rsid w:val="003E6168"/>
    <w:rsid w:val="003F2391"/>
    <w:rsid w:val="003F6BB3"/>
    <w:rsid w:val="00400532"/>
    <w:rsid w:val="004018E4"/>
    <w:rsid w:val="00401D2E"/>
    <w:rsid w:val="004032D7"/>
    <w:rsid w:val="004046E6"/>
    <w:rsid w:val="00405541"/>
    <w:rsid w:val="00406293"/>
    <w:rsid w:val="00411C04"/>
    <w:rsid w:val="00412D60"/>
    <w:rsid w:val="00412E3B"/>
    <w:rsid w:val="00413764"/>
    <w:rsid w:val="00415860"/>
    <w:rsid w:val="004160A2"/>
    <w:rsid w:val="004200A9"/>
    <w:rsid w:val="0042462C"/>
    <w:rsid w:val="00427643"/>
    <w:rsid w:val="004326CA"/>
    <w:rsid w:val="004347A7"/>
    <w:rsid w:val="004359B5"/>
    <w:rsid w:val="00436212"/>
    <w:rsid w:val="00437174"/>
    <w:rsid w:val="004379EF"/>
    <w:rsid w:val="004427D1"/>
    <w:rsid w:val="004443F4"/>
    <w:rsid w:val="00445985"/>
    <w:rsid w:val="00447E7C"/>
    <w:rsid w:val="00452657"/>
    <w:rsid w:val="00453D38"/>
    <w:rsid w:val="00464398"/>
    <w:rsid w:val="0047038F"/>
    <w:rsid w:val="0047078F"/>
    <w:rsid w:val="00470E56"/>
    <w:rsid w:val="00475BF5"/>
    <w:rsid w:val="00477935"/>
    <w:rsid w:val="00482379"/>
    <w:rsid w:val="00482C50"/>
    <w:rsid w:val="004903C9"/>
    <w:rsid w:val="00497593"/>
    <w:rsid w:val="004A222E"/>
    <w:rsid w:val="004B05BE"/>
    <w:rsid w:val="004B2A9C"/>
    <w:rsid w:val="004B2E5A"/>
    <w:rsid w:val="004C711D"/>
    <w:rsid w:val="004E0DCF"/>
    <w:rsid w:val="004F0228"/>
    <w:rsid w:val="004F388F"/>
    <w:rsid w:val="004F49B2"/>
    <w:rsid w:val="004F5224"/>
    <w:rsid w:val="004F52FC"/>
    <w:rsid w:val="004F53A6"/>
    <w:rsid w:val="004F640D"/>
    <w:rsid w:val="00502D07"/>
    <w:rsid w:val="00503B6E"/>
    <w:rsid w:val="005045EA"/>
    <w:rsid w:val="00510B0E"/>
    <w:rsid w:val="00515FC5"/>
    <w:rsid w:val="005164B5"/>
    <w:rsid w:val="00520CCC"/>
    <w:rsid w:val="005228FE"/>
    <w:rsid w:val="005340FB"/>
    <w:rsid w:val="00534423"/>
    <w:rsid w:val="00535800"/>
    <w:rsid w:val="00540ED5"/>
    <w:rsid w:val="00542809"/>
    <w:rsid w:val="00544CE3"/>
    <w:rsid w:val="005464DA"/>
    <w:rsid w:val="00551800"/>
    <w:rsid w:val="00552754"/>
    <w:rsid w:val="0055620B"/>
    <w:rsid w:val="00561931"/>
    <w:rsid w:val="0056237D"/>
    <w:rsid w:val="005647D7"/>
    <w:rsid w:val="00565E82"/>
    <w:rsid w:val="005665AA"/>
    <w:rsid w:val="00573289"/>
    <w:rsid w:val="00573A9F"/>
    <w:rsid w:val="00575939"/>
    <w:rsid w:val="00581E3B"/>
    <w:rsid w:val="00584E11"/>
    <w:rsid w:val="005865FE"/>
    <w:rsid w:val="00586998"/>
    <w:rsid w:val="00591B9D"/>
    <w:rsid w:val="00591CF0"/>
    <w:rsid w:val="00591D05"/>
    <w:rsid w:val="00594824"/>
    <w:rsid w:val="005A0E56"/>
    <w:rsid w:val="005A2C87"/>
    <w:rsid w:val="005A3846"/>
    <w:rsid w:val="005A43C1"/>
    <w:rsid w:val="005B4CA6"/>
    <w:rsid w:val="005B5C66"/>
    <w:rsid w:val="005D2BA7"/>
    <w:rsid w:val="005D41C7"/>
    <w:rsid w:val="005D4AF1"/>
    <w:rsid w:val="005E4099"/>
    <w:rsid w:val="005E4153"/>
    <w:rsid w:val="005E4183"/>
    <w:rsid w:val="005F4CC4"/>
    <w:rsid w:val="006024EC"/>
    <w:rsid w:val="00604E63"/>
    <w:rsid w:val="00606014"/>
    <w:rsid w:val="00612509"/>
    <w:rsid w:val="00621351"/>
    <w:rsid w:val="006267A5"/>
    <w:rsid w:val="00630102"/>
    <w:rsid w:val="006309C4"/>
    <w:rsid w:val="00632568"/>
    <w:rsid w:val="006346DB"/>
    <w:rsid w:val="006404B8"/>
    <w:rsid w:val="00640E96"/>
    <w:rsid w:val="00652E5F"/>
    <w:rsid w:val="00661849"/>
    <w:rsid w:val="00663E67"/>
    <w:rsid w:val="006661FF"/>
    <w:rsid w:val="00675F3A"/>
    <w:rsid w:val="00681996"/>
    <w:rsid w:val="006827D9"/>
    <w:rsid w:val="00682D2D"/>
    <w:rsid w:val="0068579A"/>
    <w:rsid w:val="00687C47"/>
    <w:rsid w:val="00692B71"/>
    <w:rsid w:val="00693376"/>
    <w:rsid w:val="0069380A"/>
    <w:rsid w:val="006A1719"/>
    <w:rsid w:val="006A1899"/>
    <w:rsid w:val="006A6C6A"/>
    <w:rsid w:val="006B0550"/>
    <w:rsid w:val="006B4389"/>
    <w:rsid w:val="006C2985"/>
    <w:rsid w:val="006C369A"/>
    <w:rsid w:val="006C463A"/>
    <w:rsid w:val="006C54C1"/>
    <w:rsid w:val="006C68D2"/>
    <w:rsid w:val="006D1D9A"/>
    <w:rsid w:val="006D6152"/>
    <w:rsid w:val="006E29F4"/>
    <w:rsid w:val="006F7C8E"/>
    <w:rsid w:val="0070402D"/>
    <w:rsid w:val="007042D2"/>
    <w:rsid w:val="00712C43"/>
    <w:rsid w:val="00721130"/>
    <w:rsid w:val="00722971"/>
    <w:rsid w:val="00723DB3"/>
    <w:rsid w:val="00724EC0"/>
    <w:rsid w:val="0073095C"/>
    <w:rsid w:val="00733094"/>
    <w:rsid w:val="007359B5"/>
    <w:rsid w:val="00736647"/>
    <w:rsid w:val="00736C9E"/>
    <w:rsid w:val="00737141"/>
    <w:rsid w:val="00737464"/>
    <w:rsid w:val="00743AE2"/>
    <w:rsid w:val="00743D93"/>
    <w:rsid w:val="007454D5"/>
    <w:rsid w:val="00747BFF"/>
    <w:rsid w:val="007514D8"/>
    <w:rsid w:val="007559E3"/>
    <w:rsid w:val="007635A7"/>
    <w:rsid w:val="007638F6"/>
    <w:rsid w:val="00773257"/>
    <w:rsid w:val="007902EA"/>
    <w:rsid w:val="00790425"/>
    <w:rsid w:val="0079457A"/>
    <w:rsid w:val="00796237"/>
    <w:rsid w:val="007972E4"/>
    <w:rsid w:val="007976E7"/>
    <w:rsid w:val="007977FE"/>
    <w:rsid w:val="007A1B48"/>
    <w:rsid w:val="007A6669"/>
    <w:rsid w:val="007B0B11"/>
    <w:rsid w:val="007C3769"/>
    <w:rsid w:val="007C42C5"/>
    <w:rsid w:val="007C6E7B"/>
    <w:rsid w:val="007D0ABE"/>
    <w:rsid w:val="007D1930"/>
    <w:rsid w:val="007F126F"/>
    <w:rsid w:val="007F385E"/>
    <w:rsid w:val="007F46D0"/>
    <w:rsid w:val="007F5CD1"/>
    <w:rsid w:val="008001D9"/>
    <w:rsid w:val="00807C7C"/>
    <w:rsid w:val="00814B80"/>
    <w:rsid w:val="00820F21"/>
    <w:rsid w:val="0082692F"/>
    <w:rsid w:val="008321E8"/>
    <w:rsid w:val="0083501A"/>
    <w:rsid w:val="008411D3"/>
    <w:rsid w:val="008512EC"/>
    <w:rsid w:val="0085226A"/>
    <w:rsid w:val="00855C26"/>
    <w:rsid w:val="00856CB0"/>
    <w:rsid w:val="0085716A"/>
    <w:rsid w:val="0086000F"/>
    <w:rsid w:val="00860871"/>
    <w:rsid w:val="00866B1D"/>
    <w:rsid w:val="00870988"/>
    <w:rsid w:val="0087359F"/>
    <w:rsid w:val="00875AA4"/>
    <w:rsid w:val="008830F2"/>
    <w:rsid w:val="008852FF"/>
    <w:rsid w:val="0088671F"/>
    <w:rsid w:val="00886DA8"/>
    <w:rsid w:val="00890565"/>
    <w:rsid w:val="008A30AE"/>
    <w:rsid w:val="008A780E"/>
    <w:rsid w:val="008C23FC"/>
    <w:rsid w:val="008C3F40"/>
    <w:rsid w:val="008C5896"/>
    <w:rsid w:val="008D3502"/>
    <w:rsid w:val="008D531E"/>
    <w:rsid w:val="008E0827"/>
    <w:rsid w:val="008F3244"/>
    <w:rsid w:val="008F5168"/>
    <w:rsid w:val="009003C3"/>
    <w:rsid w:val="00901C7C"/>
    <w:rsid w:val="00903D88"/>
    <w:rsid w:val="00905A1B"/>
    <w:rsid w:val="00906A4C"/>
    <w:rsid w:val="00914B18"/>
    <w:rsid w:val="00917072"/>
    <w:rsid w:val="009231CF"/>
    <w:rsid w:val="00923E12"/>
    <w:rsid w:val="00932F63"/>
    <w:rsid w:val="0094188B"/>
    <w:rsid w:val="00941A65"/>
    <w:rsid w:val="00951185"/>
    <w:rsid w:val="00962086"/>
    <w:rsid w:val="00971BA3"/>
    <w:rsid w:val="00975B1B"/>
    <w:rsid w:val="00985602"/>
    <w:rsid w:val="009934BE"/>
    <w:rsid w:val="0099522F"/>
    <w:rsid w:val="009A32CC"/>
    <w:rsid w:val="009B0082"/>
    <w:rsid w:val="009B2EF0"/>
    <w:rsid w:val="009B4956"/>
    <w:rsid w:val="009B4EB6"/>
    <w:rsid w:val="009D43F2"/>
    <w:rsid w:val="009D4464"/>
    <w:rsid w:val="009D461A"/>
    <w:rsid w:val="009D557E"/>
    <w:rsid w:val="009D5731"/>
    <w:rsid w:val="009D72CB"/>
    <w:rsid w:val="009D7AC4"/>
    <w:rsid w:val="009F4B32"/>
    <w:rsid w:val="00A00CA3"/>
    <w:rsid w:val="00A02FDD"/>
    <w:rsid w:val="00A06B49"/>
    <w:rsid w:val="00A11D7D"/>
    <w:rsid w:val="00A2143C"/>
    <w:rsid w:val="00A224D5"/>
    <w:rsid w:val="00A22E3F"/>
    <w:rsid w:val="00A24EED"/>
    <w:rsid w:val="00A268F3"/>
    <w:rsid w:val="00A30BE7"/>
    <w:rsid w:val="00A31039"/>
    <w:rsid w:val="00A31D3E"/>
    <w:rsid w:val="00A35ACC"/>
    <w:rsid w:val="00A46AFA"/>
    <w:rsid w:val="00A4730F"/>
    <w:rsid w:val="00A63299"/>
    <w:rsid w:val="00A638EF"/>
    <w:rsid w:val="00A64705"/>
    <w:rsid w:val="00A70D20"/>
    <w:rsid w:val="00A71F31"/>
    <w:rsid w:val="00A80D8E"/>
    <w:rsid w:val="00A918AA"/>
    <w:rsid w:val="00A9238F"/>
    <w:rsid w:val="00A92E63"/>
    <w:rsid w:val="00A93310"/>
    <w:rsid w:val="00A93DFA"/>
    <w:rsid w:val="00A94264"/>
    <w:rsid w:val="00AA059B"/>
    <w:rsid w:val="00AA50B6"/>
    <w:rsid w:val="00AA5FF2"/>
    <w:rsid w:val="00AA6D10"/>
    <w:rsid w:val="00AB181E"/>
    <w:rsid w:val="00AB6D1B"/>
    <w:rsid w:val="00AB7B20"/>
    <w:rsid w:val="00AC4DAD"/>
    <w:rsid w:val="00AC73B6"/>
    <w:rsid w:val="00AD05F1"/>
    <w:rsid w:val="00AD2423"/>
    <w:rsid w:val="00AD7F33"/>
    <w:rsid w:val="00AE3C53"/>
    <w:rsid w:val="00AE3D26"/>
    <w:rsid w:val="00AF0043"/>
    <w:rsid w:val="00AF6CD1"/>
    <w:rsid w:val="00B014A3"/>
    <w:rsid w:val="00B11E19"/>
    <w:rsid w:val="00B11F87"/>
    <w:rsid w:val="00B2063F"/>
    <w:rsid w:val="00B20C0D"/>
    <w:rsid w:val="00B21BD9"/>
    <w:rsid w:val="00B268EF"/>
    <w:rsid w:val="00B3190B"/>
    <w:rsid w:val="00B36E0D"/>
    <w:rsid w:val="00B43D65"/>
    <w:rsid w:val="00B504F9"/>
    <w:rsid w:val="00B625AB"/>
    <w:rsid w:val="00B62CCF"/>
    <w:rsid w:val="00B6301A"/>
    <w:rsid w:val="00B70200"/>
    <w:rsid w:val="00B70A09"/>
    <w:rsid w:val="00B83F1A"/>
    <w:rsid w:val="00B84AF0"/>
    <w:rsid w:val="00B87B8C"/>
    <w:rsid w:val="00B90853"/>
    <w:rsid w:val="00B9473E"/>
    <w:rsid w:val="00BA10E8"/>
    <w:rsid w:val="00BA3720"/>
    <w:rsid w:val="00BB051D"/>
    <w:rsid w:val="00BB415F"/>
    <w:rsid w:val="00BB7171"/>
    <w:rsid w:val="00BB7D27"/>
    <w:rsid w:val="00BC1F7E"/>
    <w:rsid w:val="00BC310D"/>
    <w:rsid w:val="00BC5191"/>
    <w:rsid w:val="00BD344C"/>
    <w:rsid w:val="00BE7368"/>
    <w:rsid w:val="00BF2531"/>
    <w:rsid w:val="00C0122E"/>
    <w:rsid w:val="00C0186D"/>
    <w:rsid w:val="00C05173"/>
    <w:rsid w:val="00C06B87"/>
    <w:rsid w:val="00C103B1"/>
    <w:rsid w:val="00C11E87"/>
    <w:rsid w:val="00C20876"/>
    <w:rsid w:val="00C21481"/>
    <w:rsid w:val="00C24762"/>
    <w:rsid w:val="00C24BB0"/>
    <w:rsid w:val="00C368C5"/>
    <w:rsid w:val="00C45F7A"/>
    <w:rsid w:val="00C471F3"/>
    <w:rsid w:val="00C51492"/>
    <w:rsid w:val="00C5150C"/>
    <w:rsid w:val="00C54D71"/>
    <w:rsid w:val="00C56A0E"/>
    <w:rsid w:val="00C570C0"/>
    <w:rsid w:val="00C64906"/>
    <w:rsid w:val="00C67039"/>
    <w:rsid w:val="00C714BB"/>
    <w:rsid w:val="00C7667E"/>
    <w:rsid w:val="00C81E53"/>
    <w:rsid w:val="00C94497"/>
    <w:rsid w:val="00C94A28"/>
    <w:rsid w:val="00CA3D28"/>
    <w:rsid w:val="00CB0206"/>
    <w:rsid w:val="00CB5717"/>
    <w:rsid w:val="00CC1762"/>
    <w:rsid w:val="00CC3389"/>
    <w:rsid w:val="00CC408A"/>
    <w:rsid w:val="00CD0FDC"/>
    <w:rsid w:val="00CD18F5"/>
    <w:rsid w:val="00CD20CC"/>
    <w:rsid w:val="00CD58D2"/>
    <w:rsid w:val="00CE54E3"/>
    <w:rsid w:val="00CE61BD"/>
    <w:rsid w:val="00CF2408"/>
    <w:rsid w:val="00CF49B3"/>
    <w:rsid w:val="00D00682"/>
    <w:rsid w:val="00D00865"/>
    <w:rsid w:val="00D075C6"/>
    <w:rsid w:val="00D115D1"/>
    <w:rsid w:val="00D136F2"/>
    <w:rsid w:val="00D14F37"/>
    <w:rsid w:val="00D17041"/>
    <w:rsid w:val="00D3038F"/>
    <w:rsid w:val="00D30982"/>
    <w:rsid w:val="00D36843"/>
    <w:rsid w:val="00D37929"/>
    <w:rsid w:val="00D54747"/>
    <w:rsid w:val="00D55F91"/>
    <w:rsid w:val="00D5635A"/>
    <w:rsid w:val="00D606C9"/>
    <w:rsid w:val="00D61D03"/>
    <w:rsid w:val="00D63ED6"/>
    <w:rsid w:val="00D64CA4"/>
    <w:rsid w:val="00D6760A"/>
    <w:rsid w:val="00D67C2A"/>
    <w:rsid w:val="00D701EB"/>
    <w:rsid w:val="00D73ED1"/>
    <w:rsid w:val="00D761B6"/>
    <w:rsid w:val="00D80CC8"/>
    <w:rsid w:val="00D8136D"/>
    <w:rsid w:val="00D97248"/>
    <w:rsid w:val="00DA2DAF"/>
    <w:rsid w:val="00DA5BDF"/>
    <w:rsid w:val="00DA5BF2"/>
    <w:rsid w:val="00DA77B7"/>
    <w:rsid w:val="00DA7B75"/>
    <w:rsid w:val="00DB0DB1"/>
    <w:rsid w:val="00DB56BB"/>
    <w:rsid w:val="00DB62AC"/>
    <w:rsid w:val="00DB6808"/>
    <w:rsid w:val="00DB746E"/>
    <w:rsid w:val="00DC02F5"/>
    <w:rsid w:val="00DD17FB"/>
    <w:rsid w:val="00DD227C"/>
    <w:rsid w:val="00DD3A25"/>
    <w:rsid w:val="00DD66AA"/>
    <w:rsid w:val="00DE08E0"/>
    <w:rsid w:val="00DE0A76"/>
    <w:rsid w:val="00DE4561"/>
    <w:rsid w:val="00DF1FC0"/>
    <w:rsid w:val="00DF270E"/>
    <w:rsid w:val="00DF3E6B"/>
    <w:rsid w:val="00DF75A0"/>
    <w:rsid w:val="00E002E5"/>
    <w:rsid w:val="00E04117"/>
    <w:rsid w:val="00E04BE8"/>
    <w:rsid w:val="00E04C89"/>
    <w:rsid w:val="00E13959"/>
    <w:rsid w:val="00E14144"/>
    <w:rsid w:val="00E21388"/>
    <w:rsid w:val="00E302EB"/>
    <w:rsid w:val="00E32020"/>
    <w:rsid w:val="00E340DE"/>
    <w:rsid w:val="00E401E6"/>
    <w:rsid w:val="00E42B14"/>
    <w:rsid w:val="00E4571E"/>
    <w:rsid w:val="00E510A1"/>
    <w:rsid w:val="00E5324B"/>
    <w:rsid w:val="00E60F8C"/>
    <w:rsid w:val="00E610F0"/>
    <w:rsid w:val="00E62BD0"/>
    <w:rsid w:val="00E6396F"/>
    <w:rsid w:val="00E66A22"/>
    <w:rsid w:val="00E81E03"/>
    <w:rsid w:val="00E83A35"/>
    <w:rsid w:val="00E86BE1"/>
    <w:rsid w:val="00E93CC8"/>
    <w:rsid w:val="00EA6686"/>
    <w:rsid w:val="00EB343B"/>
    <w:rsid w:val="00EB5417"/>
    <w:rsid w:val="00EC42DB"/>
    <w:rsid w:val="00ED200C"/>
    <w:rsid w:val="00ED321A"/>
    <w:rsid w:val="00ED7EB8"/>
    <w:rsid w:val="00EE054E"/>
    <w:rsid w:val="00EE2D7F"/>
    <w:rsid w:val="00EE4557"/>
    <w:rsid w:val="00EE58A9"/>
    <w:rsid w:val="00EE5FA5"/>
    <w:rsid w:val="00EF0B66"/>
    <w:rsid w:val="00EF3929"/>
    <w:rsid w:val="00EF43DF"/>
    <w:rsid w:val="00EF5654"/>
    <w:rsid w:val="00F0469B"/>
    <w:rsid w:val="00F07170"/>
    <w:rsid w:val="00F105FA"/>
    <w:rsid w:val="00F24391"/>
    <w:rsid w:val="00F24983"/>
    <w:rsid w:val="00F249C7"/>
    <w:rsid w:val="00F303FF"/>
    <w:rsid w:val="00F30BDE"/>
    <w:rsid w:val="00F30C5E"/>
    <w:rsid w:val="00F3199C"/>
    <w:rsid w:val="00F36BCA"/>
    <w:rsid w:val="00F37FB8"/>
    <w:rsid w:val="00F434C3"/>
    <w:rsid w:val="00F445E0"/>
    <w:rsid w:val="00F458F7"/>
    <w:rsid w:val="00F51D29"/>
    <w:rsid w:val="00F55FB6"/>
    <w:rsid w:val="00F64B3E"/>
    <w:rsid w:val="00F65055"/>
    <w:rsid w:val="00F71172"/>
    <w:rsid w:val="00F727D7"/>
    <w:rsid w:val="00F81D36"/>
    <w:rsid w:val="00F827DE"/>
    <w:rsid w:val="00F84566"/>
    <w:rsid w:val="00F864D8"/>
    <w:rsid w:val="00F90ADE"/>
    <w:rsid w:val="00F91961"/>
    <w:rsid w:val="00F91E5E"/>
    <w:rsid w:val="00FA39A7"/>
    <w:rsid w:val="00FA5022"/>
    <w:rsid w:val="00FB0415"/>
    <w:rsid w:val="00FB0E57"/>
    <w:rsid w:val="00FB5013"/>
    <w:rsid w:val="00FB73A7"/>
    <w:rsid w:val="00FC2125"/>
    <w:rsid w:val="00FC560B"/>
    <w:rsid w:val="00FD1F2F"/>
    <w:rsid w:val="00FD3A6F"/>
    <w:rsid w:val="00FE4630"/>
    <w:rsid w:val="00FE5BC0"/>
    <w:rsid w:val="00FF1E58"/>
    <w:rsid w:val="00FF47E3"/>
    <w:rsid w:val="00FF7FF8"/>
    <w:rsid w:val="4723448A"/>
    <w:rsid w:val="68C2BF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72768F"/>
  <w14:defaultImageDpi w14:val="32767"/>
  <w15:chartTrackingRefBased/>
  <w15:docId w15:val="{A9038843-7CB7-4577-BA70-84018557B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434C3"/>
  </w:style>
  <w:style w:type="paragraph" w:styleId="Heading1">
    <w:name w:val="heading 1"/>
    <w:basedOn w:val="Normal"/>
    <w:next w:val="Normal"/>
    <w:link w:val="Heading1Char"/>
    <w:uiPriority w:val="9"/>
    <w:qFormat/>
    <w:rsid w:val="00F434C3"/>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unhideWhenUsed/>
    <w:qFormat/>
    <w:rsid w:val="00F434C3"/>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unhideWhenUsed/>
    <w:qFormat/>
    <w:rsid w:val="00F434C3"/>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rsid w:val="00F434C3"/>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F434C3"/>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F434C3"/>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F434C3"/>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F434C3"/>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F434C3"/>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A222E"/>
    <w:rPr>
      <w:sz w:val="16"/>
      <w:szCs w:val="16"/>
    </w:rPr>
  </w:style>
  <w:style w:type="paragraph" w:styleId="CommentText">
    <w:name w:val="annotation text"/>
    <w:basedOn w:val="Normal"/>
    <w:link w:val="CommentTextChar"/>
    <w:uiPriority w:val="99"/>
    <w:unhideWhenUsed/>
    <w:rsid w:val="004A222E"/>
    <w:rPr>
      <w:sz w:val="20"/>
      <w:szCs w:val="20"/>
    </w:rPr>
  </w:style>
  <w:style w:type="character" w:customStyle="1" w:styleId="CommentTextChar">
    <w:name w:val="Comment Text Char"/>
    <w:basedOn w:val="DefaultParagraphFont"/>
    <w:link w:val="CommentText"/>
    <w:uiPriority w:val="99"/>
    <w:rsid w:val="004A222E"/>
    <w:rPr>
      <w:rFonts w:ascii="Times New Roman" w:eastAsia="Times New Roman" w:hAnsi="Times New Roman" w:cs="Times New Roman"/>
      <w:sz w:val="20"/>
      <w:szCs w:val="20"/>
    </w:rPr>
  </w:style>
  <w:style w:type="paragraph" w:styleId="EndnoteText">
    <w:name w:val="endnote text"/>
    <w:basedOn w:val="Normal"/>
    <w:link w:val="EndnoteTextChar"/>
    <w:uiPriority w:val="99"/>
    <w:unhideWhenUsed/>
    <w:rsid w:val="004A222E"/>
    <w:rPr>
      <w:sz w:val="20"/>
      <w:szCs w:val="20"/>
    </w:rPr>
  </w:style>
  <w:style w:type="character" w:customStyle="1" w:styleId="EndnoteTextChar">
    <w:name w:val="Endnote Text Char"/>
    <w:basedOn w:val="DefaultParagraphFont"/>
    <w:link w:val="EndnoteText"/>
    <w:uiPriority w:val="99"/>
    <w:rsid w:val="004A222E"/>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4A222E"/>
    <w:rPr>
      <w:vertAlign w:val="superscript"/>
    </w:rPr>
  </w:style>
  <w:style w:type="character" w:styleId="Hyperlink">
    <w:name w:val="Hyperlink"/>
    <w:basedOn w:val="DefaultParagraphFont"/>
    <w:uiPriority w:val="99"/>
    <w:unhideWhenUsed/>
    <w:rsid w:val="004A222E"/>
    <w:rPr>
      <w:color w:val="0000FF"/>
      <w:u w:val="single"/>
    </w:rPr>
  </w:style>
  <w:style w:type="character" w:customStyle="1" w:styleId="sr-only">
    <w:name w:val="sr-only"/>
    <w:basedOn w:val="DefaultParagraphFont"/>
    <w:rsid w:val="004A222E"/>
  </w:style>
  <w:style w:type="paragraph" w:styleId="BalloonText">
    <w:name w:val="Balloon Text"/>
    <w:basedOn w:val="Normal"/>
    <w:link w:val="BalloonTextChar"/>
    <w:uiPriority w:val="99"/>
    <w:semiHidden/>
    <w:unhideWhenUsed/>
    <w:rsid w:val="004A222E"/>
    <w:rPr>
      <w:sz w:val="18"/>
      <w:szCs w:val="18"/>
    </w:rPr>
  </w:style>
  <w:style w:type="character" w:customStyle="1" w:styleId="BalloonTextChar">
    <w:name w:val="Balloon Text Char"/>
    <w:basedOn w:val="DefaultParagraphFont"/>
    <w:link w:val="BalloonText"/>
    <w:uiPriority w:val="99"/>
    <w:semiHidden/>
    <w:rsid w:val="004A222E"/>
    <w:rPr>
      <w:rFonts w:ascii="Times New Roman" w:eastAsia="Times New Roman" w:hAnsi="Times New Roman" w:cs="Times New Roman"/>
      <w:sz w:val="18"/>
      <w:szCs w:val="18"/>
    </w:rPr>
  </w:style>
  <w:style w:type="paragraph" w:styleId="ListParagraph">
    <w:name w:val="List Paragraph"/>
    <w:basedOn w:val="Normal"/>
    <w:uiPriority w:val="34"/>
    <w:qFormat/>
    <w:rsid w:val="006D1D9A"/>
    <w:pPr>
      <w:ind w:left="720"/>
      <w:contextualSpacing/>
    </w:pPr>
  </w:style>
  <w:style w:type="character" w:styleId="FootnoteReference">
    <w:name w:val="footnote reference"/>
    <w:basedOn w:val="DefaultParagraphFont"/>
    <w:uiPriority w:val="99"/>
    <w:semiHidden/>
    <w:unhideWhenUsed/>
    <w:rsid w:val="002E4737"/>
    <w:rPr>
      <w:vertAlign w:val="superscript"/>
    </w:rPr>
  </w:style>
  <w:style w:type="paragraph" w:styleId="CommentSubject">
    <w:name w:val="annotation subject"/>
    <w:basedOn w:val="CommentText"/>
    <w:next w:val="CommentText"/>
    <w:link w:val="CommentSubjectChar"/>
    <w:uiPriority w:val="99"/>
    <w:semiHidden/>
    <w:unhideWhenUsed/>
    <w:rsid w:val="004443F4"/>
    <w:rPr>
      <w:b/>
      <w:bCs/>
    </w:rPr>
  </w:style>
  <w:style w:type="character" w:customStyle="1" w:styleId="CommentSubjectChar">
    <w:name w:val="Comment Subject Char"/>
    <w:basedOn w:val="CommentTextChar"/>
    <w:link w:val="CommentSubject"/>
    <w:uiPriority w:val="99"/>
    <w:semiHidden/>
    <w:rsid w:val="004443F4"/>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BA3720"/>
    <w:pPr>
      <w:tabs>
        <w:tab w:val="center" w:pos="4680"/>
        <w:tab w:val="right" w:pos="9360"/>
      </w:tabs>
    </w:pPr>
  </w:style>
  <w:style w:type="character" w:customStyle="1" w:styleId="FooterChar">
    <w:name w:val="Footer Char"/>
    <w:basedOn w:val="DefaultParagraphFont"/>
    <w:link w:val="Footer"/>
    <w:uiPriority w:val="99"/>
    <w:rsid w:val="00BA3720"/>
    <w:rPr>
      <w:rFonts w:ascii="Times New Roman" w:eastAsia="Times New Roman" w:hAnsi="Times New Roman" w:cs="Times New Roman"/>
    </w:rPr>
  </w:style>
  <w:style w:type="character" w:styleId="PageNumber">
    <w:name w:val="page number"/>
    <w:basedOn w:val="DefaultParagraphFont"/>
    <w:uiPriority w:val="99"/>
    <w:semiHidden/>
    <w:unhideWhenUsed/>
    <w:rsid w:val="00BA3720"/>
  </w:style>
  <w:style w:type="paragraph" w:styleId="Header">
    <w:name w:val="header"/>
    <w:basedOn w:val="Normal"/>
    <w:link w:val="HeaderChar"/>
    <w:uiPriority w:val="99"/>
    <w:unhideWhenUsed/>
    <w:rsid w:val="00BA3720"/>
    <w:pPr>
      <w:tabs>
        <w:tab w:val="center" w:pos="4680"/>
        <w:tab w:val="right" w:pos="9360"/>
      </w:tabs>
    </w:pPr>
  </w:style>
  <w:style w:type="character" w:customStyle="1" w:styleId="HeaderChar">
    <w:name w:val="Header Char"/>
    <w:basedOn w:val="DefaultParagraphFont"/>
    <w:link w:val="Header"/>
    <w:uiPriority w:val="99"/>
    <w:rsid w:val="00BA3720"/>
    <w:rPr>
      <w:rFonts w:ascii="Times New Roman" w:eastAsia="Times New Roman" w:hAnsi="Times New Roman" w:cs="Times New Roman"/>
    </w:rPr>
  </w:style>
  <w:style w:type="paragraph" w:styleId="Revision">
    <w:name w:val="Revision"/>
    <w:hidden/>
    <w:uiPriority w:val="99"/>
    <w:semiHidden/>
    <w:rsid w:val="00D8136D"/>
    <w:rPr>
      <w:rFonts w:ascii="Times New Roman" w:eastAsia="Times New Roman" w:hAnsi="Times New Roman" w:cs="Times New Roman"/>
    </w:rPr>
  </w:style>
  <w:style w:type="paragraph" w:styleId="FootnoteText">
    <w:name w:val="footnote text"/>
    <w:basedOn w:val="Normal"/>
    <w:link w:val="FootnoteTextChar"/>
    <w:uiPriority w:val="99"/>
    <w:unhideWhenUsed/>
    <w:rsid w:val="00322018"/>
    <w:rPr>
      <w:sz w:val="20"/>
      <w:szCs w:val="20"/>
    </w:rPr>
  </w:style>
  <w:style w:type="character" w:customStyle="1" w:styleId="FootnoteTextChar">
    <w:name w:val="Footnote Text Char"/>
    <w:basedOn w:val="DefaultParagraphFont"/>
    <w:link w:val="FootnoteText"/>
    <w:uiPriority w:val="99"/>
    <w:rsid w:val="00322018"/>
    <w:rPr>
      <w:rFonts w:ascii="Times New Roman" w:eastAsia="Times New Roman" w:hAnsi="Times New Roman" w:cs="Times New Roman"/>
      <w:sz w:val="20"/>
      <w:szCs w:val="20"/>
    </w:rPr>
  </w:style>
  <w:style w:type="table" w:styleId="TableGrid">
    <w:name w:val="Table Grid"/>
    <w:basedOn w:val="TableNormal"/>
    <w:uiPriority w:val="39"/>
    <w:rsid w:val="00D3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F6CD1"/>
    <w:rPr>
      <w:color w:val="808080"/>
    </w:rPr>
  </w:style>
  <w:style w:type="paragraph" w:styleId="NormalWeb">
    <w:name w:val="Normal (Web)"/>
    <w:basedOn w:val="Normal"/>
    <w:uiPriority w:val="99"/>
    <w:semiHidden/>
    <w:unhideWhenUsed/>
    <w:rsid w:val="00510B0E"/>
    <w:pPr>
      <w:spacing w:before="100" w:beforeAutospacing="1" w:after="100" w:afterAutospacing="1"/>
    </w:pPr>
  </w:style>
  <w:style w:type="character" w:styleId="FollowedHyperlink">
    <w:name w:val="FollowedHyperlink"/>
    <w:basedOn w:val="DefaultParagraphFont"/>
    <w:uiPriority w:val="99"/>
    <w:semiHidden/>
    <w:unhideWhenUsed/>
    <w:rsid w:val="006024EC"/>
    <w:rPr>
      <w:color w:val="954F72" w:themeColor="followedHyperlink"/>
      <w:u w:val="single"/>
    </w:rPr>
  </w:style>
  <w:style w:type="character" w:customStyle="1" w:styleId="Heading3Char">
    <w:name w:val="Heading 3 Char"/>
    <w:basedOn w:val="DefaultParagraphFont"/>
    <w:link w:val="Heading3"/>
    <w:uiPriority w:val="9"/>
    <w:rsid w:val="00F434C3"/>
    <w:rPr>
      <w:rFonts w:asciiTheme="majorHAnsi" w:eastAsiaTheme="majorEastAsia" w:hAnsiTheme="majorHAnsi" w:cstheme="majorBidi"/>
      <w:smallCaps/>
      <w:sz w:val="28"/>
      <w:szCs w:val="28"/>
    </w:rPr>
  </w:style>
  <w:style w:type="character" w:styleId="UnresolvedMention">
    <w:name w:val="Unresolved Mention"/>
    <w:basedOn w:val="DefaultParagraphFont"/>
    <w:uiPriority w:val="99"/>
    <w:rsid w:val="0025368A"/>
    <w:rPr>
      <w:color w:val="605E5C"/>
      <w:shd w:val="clear" w:color="auto" w:fill="E1DFDD"/>
    </w:rPr>
  </w:style>
  <w:style w:type="paragraph" w:customStyle="1" w:styleId="Default">
    <w:name w:val="Default"/>
    <w:rsid w:val="00681996"/>
    <w:pPr>
      <w:autoSpaceDE w:val="0"/>
      <w:autoSpaceDN w:val="0"/>
      <w:adjustRightInd w:val="0"/>
    </w:pPr>
    <w:rPr>
      <w:rFonts w:ascii="Tahoma" w:hAnsi="Tahoma" w:cs="Tahoma"/>
      <w:color w:val="000000"/>
    </w:rPr>
  </w:style>
  <w:style w:type="paragraph" w:customStyle="1" w:styleId="EndNoteBibliographyTitle">
    <w:name w:val="EndNote Bibliography Title"/>
    <w:basedOn w:val="Normal"/>
    <w:link w:val="EndNoteBibliographyTitleChar"/>
    <w:rsid w:val="00BC1F7E"/>
    <w:pPr>
      <w:jc w:val="center"/>
    </w:pPr>
    <w:rPr>
      <w:rFonts w:ascii="Calibri" w:hAnsi="Calibri" w:cs="Calibri"/>
    </w:rPr>
  </w:style>
  <w:style w:type="character" w:customStyle="1" w:styleId="EndNoteBibliographyTitleChar">
    <w:name w:val="EndNote Bibliography Title Char"/>
    <w:basedOn w:val="DefaultParagraphFont"/>
    <w:link w:val="EndNoteBibliographyTitle"/>
    <w:rsid w:val="00BC1F7E"/>
    <w:rPr>
      <w:rFonts w:ascii="Calibri" w:eastAsia="Times New Roman" w:hAnsi="Calibri" w:cs="Calibri"/>
      <w:sz w:val="22"/>
    </w:rPr>
  </w:style>
  <w:style w:type="paragraph" w:customStyle="1" w:styleId="EndNoteBibliography">
    <w:name w:val="EndNote Bibliography"/>
    <w:basedOn w:val="Normal"/>
    <w:link w:val="EndNoteBibliographyChar"/>
    <w:rsid w:val="00BC1F7E"/>
    <w:rPr>
      <w:rFonts w:ascii="Calibri" w:hAnsi="Calibri" w:cs="Calibri"/>
    </w:rPr>
  </w:style>
  <w:style w:type="character" w:customStyle="1" w:styleId="EndNoteBibliographyChar">
    <w:name w:val="EndNote Bibliography Char"/>
    <w:basedOn w:val="DefaultParagraphFont"/>
    <w:link w:val="EndNoteBibliography"/>
    <w:rsid w:val="00BC1F7E"/>
    <w:rPr>
      <w:rFonts w:ascii="Calibri" w:eastAsia="Times New Roman" w:hAnsi="Calibri" w:cs="Calibri"/>
      <w:sz w:val="22"/>
    </w:rPr>
  </w:style>
  <w:style w:type="character" w:customStyle="1" w:styleId="Heading1Char">
    <w:name w:val="Heading 1 Char"/>
    <w:basedOn w:val="DefaultParagraphFont"/>
    <w:link w:val="Heading1"/>
    <w:uiPriority w:val="9"/>
    <w:rsid w:val="00F434C3"/>
    <w:rPr>
      <w:rFonts w:asciiTheme="majorHAnsi" w:eastAsiaTheme="majorEastAsia" w:hAnsiTheme="majorHAnsi" w:cstheme="majorBidi"/>
      <w:caps/>
      <w:sz w:val="36"/>
      <w:szCs w:val="36"/>
    </w:rPr>
  </w:style>
  <w:style w:type="character" w:customStyle="1" w:styleId="epub-date">
    <w:name w:val="epub-date"/>
    <w:basedOn w:val="DefaultParagraphFont"/>
    <w:rsid w:val="00C51492"/>
  </w:style>
  <w:style w:type="character" w:customStyle="1" w:styleId="page-headercitation-item-label">
    <w:name w:val="page-header__citation-item-label"/>
    <w:basedOn w:val="DefaultParagraphFont"/>
    <w:rsid w:val="00234ECB"/>
  </w:style>
  <w:style w:type="character" w:customStyle="1" w:styleId="artauthors">
    <w:name w:val="art_authors"/>
    <w:basedOn w:val="DefaultParagraphFont"/>
    <w:rsid w:val="00234ECB"/>
  </w:style>
  <w:style w:type="character" w:customStyle="1" w:styleId="year">
    <w:name w:val="year"/>
    <w:basedOn w:val="DefaultParagraphFont"/>
    <w:rsid w:val="00234ECB"/>
  </w:style>
  <w:style w:type="character" w:customStyle="1" w:styleId="journalname">
    <w:name w:val="journalname"/>
    <w:basedOn w:val="DefaultParagraphFont"/>
    <w:rsid w:val="00234ECB"/>
  </w:style>
  <w:style w:type="character" w:customStyle="1" w:styleId="volume">
    <w:name w:val="volume"/>
    <w:basedOn w:val="DefaultParagraphFont"/>
    <w:rsid w:val="00234ECB"/>
  </w:style>
  <w:style w:type="character" w:customStyle="1" w:styleId="page">
    <w:name w:val="page"/>
    <w:basedOn w:val="DefaultParagraphFont"/>
    <w:rsid w:val="00234ECB"/>
  </w:style>
  <w:style w:type="character" w:customStyle="1" w:styleId="apple-converted-space">
    <w:name w:val="apple-converted-space"/>
    <w:basedOn w:val="DefaultParagraphFont"/>
    <w:rsid w:val="00542809"/>
  </w:style>
  <w:style w:type="character" w:customStyle="1" w:styleId="ref-title">
    <w:name w:val="ref-title"/>
    <w:basedOn w:val="DefaultParagraphFont"/>
    <w:rsid w:val="008E0827"/>
  </w:style>
  <w:style w:type="character" w:styleId="Emphasis">
    <w:name w:val="Emphasis"/>
    <w:basedOn w:val="DefaultParagraphFont"/>
    <w:uiPriority w:val="20"/>
    <w:qFormat/>
    <w:rsid w:val="00F434C3"/>
    <w:rPr>
      <w:i/>
      <w:iCs/>
    </w:rPr>
  </w:style>
  <w:style w:type="character" w:customStyle="1" w:styleId="ref-vol">
    <w:name w:val="ref-vol"/>
    <w:basedOn w:val="DefaultParagraphFont"/>
    <w:rsid w:val="008E0827"/>
  </w:style>
  <w:style w:type="character" w:customStyle="1" w:styleId="nowrap">
    <w:name w:val="nowrap"/>
    <w:basedOn w:val="DefaultParagraphFont"/>
    <w:rsid w:val="008E0827"/>
  </w:style>
  <w:style w:type="character" w:customStyle="1" w:styleId="element-citation">
    <w:name w:val="element-citation"/>
    <w:basedOn w:val="DefaultParagraphFont"/>
    <w:rsid w:val="008E0827"/>
  </w:style>
  <w:style w:type="character" w:customStyle="1" w:styleId="ref-journal">
    <w:name w:val="ref-journal"/>
    <w:basedOn w:val="DefaultParagraphFont"/>
    <w:rsid w:val="008E0827"/>
  </w:style>
  <w:style w:type="paragraph" w:styleId="BodyText">
    <w:name w:val="Body Text"/>
    <w:basedOn w:val="Normal"/>
    <w:link w:val="BodyTextChar"/>
    <w:uiPriority w:val="99"/>
    <w:unhideWhenUsed/>
    <w:rsid w:val="00F434C3"/>
    <w:pPr>
      <w:tabs>
        <w:tab w:val="left" w:pos="6480"/>
      </w:tabs>
      <w:jc w:val="center"/>
    </w:pPr>
    <w:rPr>
      <w:rFonts w:cstheme="majorHAnsi"/>
      <w:b/>
      <w:sz w:val="32"/>
      <w:szCs w:val="32"/>
    </w:rPr>
  </w:style>
  <w:style w:type="character" w:customStyle="1" w:styleId="BodyTextChar">
    <w:name w:val="Body Text Char"/>
    <w:basedOn w:val="DefaultParagraphFont"/>
    <w:link w:val="BodyText"/>
    <w:uiPriority w:val="99"/>
    <w:rsid w:val="00F434C3"/>
    <w:rPr>
      <w:rFonts w:eastAsia="Times New Roman" w:cstheme="majorHAnsi"/>
      <w:b/>
      <w:sz w:val="32"/>
      <w:szCs w:val="32"/>
    </w:rPr>
  </w:style>
  <w:style w:type="character" w:customStyle="1" w:styleId="Heading2Char">
    <w:name w:val="Heading 2 Char"/>
    <w:basedOn w:val="DefaultParagraphFont"/>
    <w:link w:val="Heading2"/>
    <w:uiPriority w:val="9"/>
    <w:rsid w:val="00F434C3"/>
    <w:rPr>
      <w:rFonts w:asciiTheme="majorHAnsi" w:eastAsiaTheme="majorEastAsia" w:hAnsiTheme="majorHAnsi" w:cstheme="majorBidi"/>
      <w:caps/>
      <w:sz w:val="28"/>
      <w:szCs w:val="28"/>
    </w:rPr>
  </w:style>
  <w:style w:type="character" w:customStyle="1" w:styleId="Heading4Char">
    <w:name w:val="Heading 4 Char"/>
    <w:basedOn w:val="DefaultParagraphFont"/>
    <w:link w:val="Heading4"/>
    <w:uiPriority w:val="9"/>
    <w:semiHidden/>
    <w:rsid w:val="00F434C3"/>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F434C3"/>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F434C3"/>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F434C3"/>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F434C3"/>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F434C3"/>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unhideWhenUsed/>
    <w:qFormat/>
    <w:rsid w:val="00DA2DAF"/>
    <w:pPr>
      <w:keepNext/>
      <w:spacing w:line="240" w:lineRule="auto"/>
    </w:pPr>
    <w:rPr>
      <w:b/>
      <w:bCs/>
      <w:smallCaps/>
      <w:color w:val="262626" w:themeColor="text1" w:themeTint="D9"/>
    </w:rPr>
  </w:style>
  <w:style w:type="paragraph" w:styleId="Title">
    <w:name w:val="Title"/>
    <w:basedOn w:val="BodyText"/>
    <w:next w:val="Normal"/>
    <w:link w:val="TitleChar"/>
    <w:uiPriority w:val="10"/>
    <w:qFormat/>
    <w:rsid w:val="00F434C3"/>
  </w:style>
  <w:style w:type="character" w:customStyle="1" w:styleId="TitleChar">
    <w:name w:val="Title Char"/>
    <w:basedOn w:val="DefaultParagraphFont"/>
    <w:link w:val="Title"/>
    <w:uiPriority w:val="10"/>
    <w:rsid w:val="00F434C3"/>
    <w:rPr>
      <w:rFonts w:cstheme="majorHAnsi"/>
      <w:b/>
      <w:sz w:val="32"/>
      <w:szCs w:val="32"/>
    </w:rPr>
  </w:style>
  <w:style w:type="paragraph" w:styleId="Subtitle">
    <w:name w:val="Subtitle"/>
    <w:basedOn w:val="Normal"/>
    <w:next w:val="Normal"/>
    <w:link w:val="SubtitleChar"/>
    <w:uiPriority w:val="11"/>
    <w:qFormat/>
    <w:rsid w:val="00F434C3"/>
    <w:pPr>
      <w:tabs>
        <w:tab w:val="left" w:pos="6480"/>
      </w:tabs>
      <w:jc w:val="center"/>
    </w:pPr>
    <w:rPr>
      <w:rFonts w:cstheme="majorHAnsi"/>
      <w:sz w:val="28"/>
      <w:szCs w:val="28"/>
    </w:rPr>
  </w:style>
  <w:style w:type="character" w:customStyle="1" w:styleId="SubtitleChar">
    <w:name w:val="Subtitle Char"/>
    <w:basedOn w:val="DefaultParagraphFont"/>
    <w:link w:val="Subtitle"/>
    <w:uiPriority w:val="11"/>
    <w:rsid w:val="00F434C3"/>
    <w:rPr>
      <w:rFonts w:cstheme="majorHAnsi"/>
      <w:sz w:val="28"/>
      <w:szCs w:val="28"/>
    </w:rPr>
  </w:style>
  <w:style w:type="character" w:styleId="Strong">
    <w:name w:val="Strong"/>
    <w:basedOn w:val="DefaultParagraphFont"/>
    <w:uiPriority w:val="22"/>
    <w:qFormat/>
    <w:rsid w:val="00F434C3"/>
    <w:rPr>
      <w:b/>
      <w:bCs/>
    </w:rPr>
  </w:style>
  <w:style w:type="paragraph" w:styleId="NoSpacing">
    <w:name w:val="No Spacing"/>
    <w:uiPriority w:val="1"/>
    <w:qFormat/>
    <w:rsid w:val="00F434C3"/>
    <w:pPr>
      <w:spacing w:after="0" w:line="240" w:lineRule="auto"/>
    </w:pPr>
  </w:style>
  <w:style w:type="paragraph" w:styleId="Quote">
    <w:name w:val="Quote"/>
    <w:basedOn w:val="Normal"/>
    <w:next w:val="Normal"/>
    <w:link w:val="QuoteChar"/>
    <w:uiPriority w:val="29"/>
    <w:qFormat/>
    <w:rsid w:val="00F434C3"/>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F434C3"/>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F434C3"/>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F434C3"/>
    <w:rPr>
      <w:color w:val="404040" w:themeColor="text1" w:themeTint="BF"/>
      <w:sz w:val="32"/>
      <w:szCs w:val="32"/>
    </w:rPr>
  </w:style>
  <w:style w:type="character" w:styleId="SubtleEmphasis">
    <w:name w:val="Subtle Emphasis"/>
    <w:basedOn w:val="DefaultParagraphFont"/>
    <w:uiPriority w:val="19"/>
    <w:qFormat/>
    <w:rsid w:val="00F434C3"/>
    <w:rPr>
      <w:i/>
      <w:iCs/>
      <w:color w:val="595959" w:themeColor="text1" w:themeTint="A6"/>
    </w:rPr>
  </w:style>
  <w:style w:type="character" w:styleId="IntenseEmphasis">
    <w:name w:val="Intense Emphasis"/>
    <w:basedOn w:val="DefaultParagraphFont"/>
    <w:uiPriority w:val="21"/>
    <w:qFormat/>
    <w:rsid w:val="00F434C3"/>
    <w:rPr>
      <w:b/>
      <w:bCs/>
      <w:i/>
      <w:iCs/>
    </w:rPr>
  </w:style>
  <w:style w:type="character" w:styleId="SubtleReference">
    <w:name w:val="Subtle Reference"/>
    <w:basedOn w:val="DefaultParagraphFont"/>
    <w:uiPriority w:val="31"/>
    <w:qFormat/>
    <w:rsid w:val="00F434C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F434C3"/>
    <w:rPr>
      <w:b/>
      <w:bCs/>
      <w:caps w:val="0"/>
      <w:smallCaps/>
      <w:color w:val="auto"/>
      <w:spacing w:val="3"/>
      <w:u w:val="single"/>
    </w:rPr>
  </w:style>
  <w:style w:type="character" w:styleId="BookTitle">
    <w:name w:val="Book Title"/>
    <w:basedOn w:val="DefaultParagraphFont"/>
    <w:uiPriority w:val="33"/>
    <w:qFormat/>
    <w:rsid w:val="00F434C3"/>
    <w:rPr>
      <w:b/>
      <w:bCs/>
      <w:smallCaps/>
      <w:spacing w:val="7"/>
    </w:rPr>
  </w:style>
  <w:style w:type="paragraph" w:styleId="TOCHeading">
    <w:name w:val="TOC Heading"/>
    <w:basedOn w:val="Heading1"/>
    <w:next w:val="Normal"/>
    <w:uiPriority w:val="39"/>
    <w:semiHidden/>
    <w:unhideWhenUsed/>
    <w:qFormat/>
    <w:rsid w:val="00F434C3"/>
    <w:pPr>
      <w:outlineLvl w:val="9"/>
    </w:pPr>
  </w:style>
  <w:style w:type="paragraph" w:styleId="BodyText2">
    <w:name w:val="Body Text 2"/>
    <w:basedOn w:val="Normal"/>
    <w:link w:val="BodyText2Char"/>
    <w:uiPriority w:val="99"/>
    <w:unhideWhenUsed/>
    <w:rsid w:val="00EE5FA5"/>
    <w:rPr>
      <w:rFonts w:cstheme="minorHAnsi"/>
      <w:sz w:val="18"/>
      <w:szCs w:val="18"/>
    </w:rPr>
  </w:style>
  <w:style w:type="character" w:customStyle="1" w:styleId="BodyText2Char">
    <w:name w:val="Body Text 2 Char"/>
    <w:basedOn w:val="DefaultParagraphFont"/>
    <w:link w:val="BodyText2"/>
    <w:uiPriority w:val="99"/>
    <w:rsid w:val="00EE5FA5"/>
    <w:rPr>
      <w:rFonts w:cstheme="minorHAnsi"/>
      <w:sz w:val="18"/>
      <w:szCs w:val="18"/>
    </w:rPr>
  </w:style>
  <w:style w:type="paragraph" w:styleId="BodyText3">
    <w:name w:val="Body Text 3"/>
    <w:basedOn w:val="Normal"/>
    <w:link w:val="BodyText3Char"/>
    <w:uiPriority w:val="99"/>
    <w:unhideWhenUsed/>
    <w:rsid w:val="004903C9"/>
    <w:rPr>
      <w:rFonts w:cstheme="minorHAnsi"/>
      <w:i/>
    </w:rPr>
  </w:style>
  <w:style w:type="character" w:customStyle="1" w:styleId="BodyText3Char">
    <w:name w:val="Body Text 3 Char"/>
    <w:basedOn w:val="DefaultParagraphFont"/>
    <w:link w:val="BodyText3"/>
    <w:uiPriority w:val="99"/>
    <w:rsid w:val="004903C9"/>
    <w:rPr>
      <w:rFonts w:cstheme="minorHAnsi"/>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7778">
      <w:bodyDiv w:val="1"/>
      <w:marLeft w:val="0"/>
      <w:marRight w:val="0"/>
      <w:marTop w:val="0"/>
      <w:marBottom w:val="0"/>
      <w:divBdr>
        <w:top w:val="none" w:sz="0" w:space="0" w:color="auto"/>
        <w:left w:val="none" w:sz="0" w:space="0" w:color="auto"/>
        <w:bottom w:val="none" w:sz="0" w:space="0" w:color="auto"/>
        <w:right w:val="none" w:sz="0" w:space="0" w:color="auto"/>
      </w:divBdr>
    </w:div>
    <w:div w:id="101925224">
      <w:bodyDiv w:val="1"/>
      <w:marLeft w:val="0"/>
      <w:marRight w:val="0"/>
      <w:marTop w:val="0"/>
      <w:marBottom w:val="0"/>
      <w:divBdr>
        <w:top w:val="none" w:sz="0" w:space="0" w:color="auto"/>
        <w:left w:val="none" w:sz="0" w:space="0" w:color="auto"/>
        <w:bottom w:val="none" w:sz="0" w:space="0" w:color="auto"/>
        <w:right w:val="none" w:sz="0" w:space="0" w:color="auto"/>
      </w:divBdr>
      <w:divsChild>
        <w:div w:id="798500096">
          <w:marLeft w:val="0"/>
          <w:marRight w:val="0"/>
          <w:marTop w:val="0"/>
          <w:marBottom w:val="0"/>
          <w:divBdr>
            <w:top w:val="none" w:sz="0" w:space="0" w:color="auto"/>
            <w:left w:val="none" w:sz="0" w:space="0" w:color="auto"/>
            <w:bottom w:val="none" w:sz="0" w:space="0" w:color="auto"/>
            <w:right w:val="none" w:sz="0" w:space="0" w:color="auto"/>
          </w:divBdr>
        </w:div>
      </w:divsChild>
    </w:div>
    <w:div w:id="179664856">
      <w:bodyDiv w:val="1"/>
      <w:marLeft w:val="0"/>
      <w:marRight w:val="0"/>
      <w:marTop w:val="0"/>
      <w:marBottom w:val="0"/>
      <w:divBdr>
        <w:top w:val="none" w:sz="0" w:space="0" w:color="auto"/>
        <w:left w:val="none" w:sz="0" w:space="0" w:color="auto"/>
        <w:bottom w:val="none" w:sz="0" w:space="0" w:color="auto"/>
        <w:right w:val="none" w:sz="0" w:space="0" w:color="auto"/>
      </w:divBdr>
    </w:div>
    <w:div w:id="449665435">
      <w:bodyDiv w:val="1"/>
      <w:marLeft w:val="0"/>
      <w:marRight w:val="0"/>
      <w:marTop w:val="0"/>
      <w:marBottom w:val="0"/>
      <w:divBdr>
        <w:top w:val="none" w:sz="0" w:space="0" w:color="auto"/>
        <w:left w:val="none" w:sz="0" w:space="0" w:color="auto"/>
        <w:bottom w:val="none" w:sz="0" w:space="0" w:color="auto"/>
        <w:right w:val="none" w:sz="0" w:space="0" w:color="auto"/>
      </w:divBdr>
    </w:div>
    <w:div w:id="614944571">
      <w:bodyDiv w:val="1"/>
      <w:marLeft w:val="0"/>
      <w:marRight w:val="0"/>
      <w:marTop w:val="0"/>
      <w:marBottom w:val="0"/>
      <w:divBdr>
        <w:top w:val="none" w:sz="0" w:space="0" w:color="auto"/>
        <w:left w:val="none" w:sz="0" w:space="0" w:color="auto"/>
        <w:bottom w:val="none" w:sz="0" w:space="0" w:color="auto"/>
        <w:right w:val="none" w:sz="0" w:space="0" w:color="auto"/>
      </w:divBdr>
    </w:div>
    <w:div w:id="682897695">
      <w:bodyDiv w:val="1"/>
      <w:marLeft w:val="0"/>
      <w:marRight w:val="0"/>
      <w:marTop w:val="0"/>
      <w:marBottom w:val="0"/>
      <w:divBdr>
        <w:top w:val="none" w:sz="0" w:space="0" w:color="auto"/>
        <w:left w:val="none" w:sz="0" w:space="0" w:color="auto"/>
        <w:bottom w:val="none" w:sz="0" w:space="0" w:color="auto"/>
        <w:right w:val="none" w:sz="0" w:space="0" w:color="auto"/>
      </w:divBdr>
    </w:div>
    <w:div w:id="694620454">
      <w:bodyDiv w:val="1"/>
      <w:marLeft w:val="0"/>
      <w:marRight w:val="0"/>
      <w:marTop w:val="0"/>
      <w:marBottom w:val="0"/>
      <w:divBdr>
        <w:top w:val="none" w:sz="0" w:space="0" w:color="auto"/>
        <w:left w:val="none" w:sz="0" w:space="0" w:color="auto"/>
        <w:bottom w:val="none" w:sz="0" w:space="0" w:color="auto"/>
        <w:right w:val="none" w:sz="0" w:space="0" w:color="auto"/>
      </w:divBdr>
    </w:div>
    <w:div w:id="715659501">
      <w:bodyDiv w:val="1"/>
      <w:marLeft w:val="0"/>
      <w:marRight w:val="0"/>
      <w:marTop w:val="0"/>
      <w:marBottom w:val="0"/>
      <w:divBdr>
        <w:top w:val="none" w:sz="0" w:space="0" w:color="auto"/>
        <w:left w:val="none" w:sz="0" w:space="0" w:color="auto"/>
        <w:bottom w:val="none" w:sz="0" w:space="0" w:color="auto"/>
        <w:right w:val="none" w:sz="0" w:space="0" w:color="auto"/>
      </w:divBdr>
    </w:div>
    <w:div w:id="740057706">
      <w:bodyDiv w:val="1"/>
      <w:marLeft w:val="0"/>
      <w:marRight w:val="0"/>
      <w:marTop w:val="0"/>
      <w:marBottom w:val="0"/>
      <w:divBdr>
        <w:top w:val="none" w:sz="0" w:space="0" w:color="auto"/>
        <w:left w:val="none" w:sz="0" w:space="0" w:color="auto"/>
        <w:bottom w:val="none" w:sz="0" w:space="0" w:color="auto"/>
        <w:right w:val="none" w:sz="0" w:space="0" w:color="auto"/>
      </w:divBdr>
      <w:divsChild>
        <w:div w:id="1413813250">
          <w:marLeft w:val="0"/>
          <w:marRight w:val="0"/>
          <w:marTop w:val="225"/>
          <w:marBottom w:val="225"/>
          <w:divBdr>
            <w:top w:val="none" w:sz="0" w:space="0" w:color="auto"/>
            <w:left w:val="none" w:sz="0" w:space="0" w:color="auto"/>
            <w:bottom w:val="none" w:sz="0" w:space="0" w:color="auto"/>
            <w:right w:val="none" w:sz="0" w:space="0" w:color="auto"/>
          </w:divBdr>
          <w:divsChild>
            <w:div w:id="54572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094216">
      <w:bodyDiv w:val="1"/>
      <w:marLeft w:val="0"/>
      <w:marRight w:val="0"/>
      <w:marTop w:val="0"/>
      <w:marBottom w:val="0"/>
      <w:divBdr>
        <w:top w:val="none" w:sz="0" w:space="0" w:color="auto"/>
        <w:left w:val="none" w:sz="0" w:space="0" w:color="auto"/>
        <w:bottom w:val="none" w:sz="0" w:space="0" w:color="auto"/>
        <w:right w:val="none" w:sz="0" w:space="0" w:color="auto"/>
      </w:divBdr>
    </w:div>
    <w:div w:id="794254348">
      <w:bodyDiv w:val="1"/>
      <w:marLeft w:val="0"/>
      <w:marRight w:val="0"/>
      <w:marTop w:val="0"/>
      <w:marBottom w:val="0"/>
      <w:divBdr>
        <w:top w:val="none" w:sz="0" w:space="0" w:color="auto"/>
        <w:left w:val="none" w:sz="0" w:space="0" w:color="auto"/>
        <w:bottom w:val="none" w:sz="0" w:space="0" w:color="auto"/>
        <w:right w:val="none" w:sz="0" w:space="0" w:color="auto"/>
      </w:divBdr>
    </w:div>
    <w:div w:id="818692344">
      <w:bodyDiv w:val="1"/>
      <w:marLeft w:val="0"/>
      <w:marRight w:val="0"/>
      <w:marTop w:val="0"/>
      <w:marBottom w:val="0"/>
      <w:divBdr>
        <w:top w:val="none" w:sz="0" w:space="0" w:color="auto"/>
        <w:left w:val="none" w:sz="0" w:space="0" w:color="auto"/>
        <w:bottom w:val="none" w:sz="0" w:space="0" w:color="auto"/>
        <w:right w:val="none" w:sz="0" w:space="0" w:color="auto"/>
      </w:divBdr>
    </w:div>
    <w:div w:id="840698109">
      <w:bodyDiv w:val="1"/>
      <w:marLeft w:val="0"/>
      <w:marRight w:val="0"/>
      <w:marTop w:val="0"/>
      <w:marBottom w:val="0"/>
      <w:divBdr>
        <w:top w:val="none" w:sz="0" w:space="0" w:color="auto"/>
        <w:left w:val="none" w:sz="0" w:space="0" w:color="auto"/>
        <w:bottom w:val="none" w:sz="0" w:space="0" w:color="auto"/>
        <w:right w:val="none" w:sz="0" w:space="0" w:color="auto"/>
      </w:divBdr>
    </w:div>
    <w:div w:id="856426094">
      <w:bodyDiv w:val="1"/>
      <w:marLeft w:val="0"/>
      <w:marRight w:val="0"/>
      <w:marTop w:val="0"/>
      <w:marBottom w:val="0"/>
      <w:divBdr>
        <w:top w:val="none" w:sz="0" w:space="0" w:color="auto"/>
        <w:left w:val="none" w:sz="0" w:space="0" w:color="auto"/>
        <w:bottom w:val="none" w:sz="0" w:space="0" w:color="auto"/>
        <w:right w:val="none" w:sz="0" w:space="0" w:color="auto"/>
      </w:divBdr>
    </w:div>
    <w:div w:id="860435461">
      <w:bodyDiv w:val="1"/>
      <w:marLeft w:val="0"/>
      <w:marRight w:val="0"/>
      <w:marTop w:val="0"/>
      <w:marBottom w:val="0"/>
      <w:divBdr>
        <w:top w:val="none" w:sz="0" w:space="0" w:color="auto"/>
        <w:left w:val="none" w:sz="0" w:space="0" w:color="auto"/>
        <w:bottom w:val="none" w:sz="0" w:space="0" w:color="auto"/>
        <w:right w:val="none" w:sz="0" w:space="0" w:color="auto"/>
      </w:divBdr>
    </w:div>
    <w:div w:id="873420586">
      <w:bodyDiv w:val="1"/>
      <w:marLeft w:val="0"/>
      <w:marRight w:val="0"/>
      <w:marTop w:val="0"/>
      <w:marBottom w:val="0"/>
      <w:divBdr>
        <w:top w:val="none" w:sz="0" w:space="0" w:color="auto"/>
        <w:left w:val="none" w:sz="0" w:space="0" w:color="auto"/>
        <w:bottom w:val="none" w:sz="0" w:space="0" w:color="auto"/>
        <w:right w:val="none" w:sz="0" w:space="0" w:color="auto"/>
      </w:divBdr>
    </w:div>
    <w:div w:id="897590307">
      <w:bodyDiv w:val="1"/>
      <w:marLeft w:val="0"/>
      <w:marRight w:val="0"/>
      <w:marTop w:val="0"/>
      <w:marBottom w:val="0"/>
      <w:divBdr>
        <w:top w:val="none" w:sz="0" w:space="0" w:color="auto"/>
        <w:left w:val="none" w:sz="0" w:space="0" w:color="auto"/>
        <w:bottom w:val="none" w:sz="0" w:space="0" w:color="auto"/>
        <w:right w:val="none" w:sz="0" w:space="0" w:color="auto"/>
      </w:divBdr>
    </w:div>
    <w:div w:id="993726634">
      <w:bodyDiv w:val="1"/>
      <w:marLeft w:val="0"/>
      <w:marRight w:val="0"/>
      <w:marTop w:val="0"/>
      <w:marBottom w:val="0"/>
      <w:divBdr>
        <w:top w:val="none" w:sz="0" w:space="0" w:color="auto"/>
        <w:left w:val="none" w:sz="0" w:space="0" w:color="auto"/>
        <w:bottom w:val="none" w:sz="0" w:space="0" w:color="auto"/>
        <w:right w:val="none" w:sz="0" w:space="0" w:color="auto"/>
      </w:divBdr>
    </w:div>
    <w:div w:id="1050761162">
      <w:bodyDiv w:val="1"/>
      <w:marLeft w:val="0"/>
      <w:marRight w:val="0"/>
      <w:marTop w:val="0"/>
      <w:marBottom w:val="0"/>
      <w:divBdr>
        <w:top w:val="none" w:sz="0" w:space="0" w:color="auto"/>
        <w:left w:val="none" w:sz="0" w:space="0" w:color="auto"/>
        <w:bottom w:val="none" w:sz="0" w:space="0" w:color="auto"/>
        <w:right w:val="none" w:sz="0" w:space="0" w:color="auto"/>
      </w:divBdr>
    </w:div>
    <w:div w:id="1180967750">
      <w:bodyDiv w:val="1"/>
      <w:marLeft w:val="0"/>
      <w:marRight w:val="0"/>
      <w:marTop w:val="0"/>
      <w:marBottom w:val="0"/>
      <w:divBdr>
        <w:top w:val="none" w:sz="0" w:space="0" w:color="auto"/>
        <w:left w:val="none" w:sz="0" w:space="0" w:color="auto"/>
        <w:bottom w:val="none" w:sz="0" w:space="0" w:color="auto"/>
        <w:right w:val="none" w:sz="0" w:space="0" w:color="auto"/>
      </w:divBdr>
    </w:div>
    <w:div w:id="1195726340">
      <w:bodyDiv w:val="1"/>
      <w:marLeft w:val="0"/>
      <w:marRight w:val="0"/>
      <w:marTop w:val="0"/>
      <w:marBottom w:val="0"/>
      <w:divBdr>
        <w:top w:val="none" w:sz="0" w:space="0" w:color="auto"/>
        <w:left w:val="none" w:sz="0" w:space="0" w:color="auto"/>
        <w:bottom w:val="none" w:sz="0" w:space="0" w:color="auto"/>
        <w:right w:val="none" w:sz="0" w:space="0" w:color="auto"/>
      </w:divBdr>
    </w:div>
    <w:div w:id="1304388509">
      <w:bodyDiv w:val="1"/>
      <w:marLeft w:val="0"/>
      <w:marRight w:val="0"/>
      <w:marTop w:val="0"/>
      <w:marBottom w:val="0"/>
      <w:divBdr>
        <w:top w:val="none" w:sz="0" w:space="0" w:color="auto"/>
        <w:left w:val="none" w:sz="0" w:space="0" w:color="auto"/>
        <w:bottom w:val="none" w:sz="0" w:space="0" w:color="auto"/>
        <w:right w:val="none" w:sz="0" w:space="0" w:color="auto"/>
      </w:divBdr>
    </w:div>
    <w:div w:id="1415080273">
      <w:bodyDiv w:val="1"/>
      <w:marLeft w:val="0"/>
      <w:marRight w:val="0"/>
      <w:marTop w:val="0"/>
      <w:marBottom w:val="0"/>
      <w:divBdr>
        <w:top w:val="none" w:sz="0" w:space="0" w:color="auto"/>
        <w:left w:val="none" w:sz="0" w:space="0" w:color="auto"/>
        <w:bottom w:val="none" w:sz="0" w:space="0" w:color="auto"/>
        <w:right w:val="none" w:sz="0" w:space="0" w:color="auto"/>
      </w:divBdr>
    </w:div>
    <w:div w:id="1545287538">
      <w:bodyDiv w:val="1"/>
      <w:marLeft w:val="0"/>
      <w:marRight w:val="0"/>
      <w:marTop w:val="0"/>
      <w:marBottom w:val="0"/>
      <w:divBdr>
        <w:top w:val="none" w:sz="0" w:space="0" w:color="auto"/>
        <w:left w:val="none" w:sz="0" w:space="0" w:color="auto"/>
        <w:bottom w:val="none" w:sz="0" w:space="0" w:color="auto"/>
        <w:right w:val="none" w:sz="0" w:space="0" w:color="auto"/>
      </w:divBdr>
    </w:div>
    <w:div w:id="1552960409">
      <w:bodyDiv w:val="1"/>
      <w:marLeft w:val="0"/>
      <w:marRight w:val="0"/>
      <w:marTop w:val="0"/>
      <w:marBottom w:val="0"/>
      <w:divBdr>
        <w:top w:val="none" w:sz="0" w:space="0" w:color="auto"/>
        <w:left w:val="none" w:sz="0" w:space="0" w:color="auto"/>
        <w:bottom w:val="none" w:sz="0" w:space="0" w:color="auto"/>
        <w:right w:val="none" w:sz="0" w:space="0" w:color="auto"/>
      </w:divBdr>
    </w:div>
    <w:div w:id="1773281750">
      <w:bodyDiv w:val="1"/>
      <w:marLeft w:val="0"/>
      <w:marRight w:val="0"/>
      <w:marTop w:val="0"/>
      <w:marBottom w:val="0"/>
      <w:divBdr>
        <w:top w:val="none" w:sz="0" w:space="0" w:color="auto"/>
        <w:left w:val="none" w:sz="0" w:space="0" w:color="auto"/>
        <w:bottom w:val="none" w:sz="0" w:space="0" w:color="auto"/>
        <w:right w:val="none" w:sz="0" w:space="0" w:color="auto"/>
      </w:divBdr>
    </w:div>
    <w:div w:id="1849251893">
      <w:bodyDiv w:val="1"/>
      <w:marLeft w:val="0"/>
      <w:marRight w:val="0"/>
      <w:marTop w:val="0"/>
      <w:marBottom w:val="0"/>
      <w:divBdr>
        <w:top w:val="none" w:sz="0" w:space="0" w:color="auto"/>
        <w:left w:val="none" w:sz="0" w:space="0" w:color="auto"/>
        <w:bottom w:val="none" w:sz="0" w:space="0" w:color="auto"/>
        <w:right w:val="none" w:sz="0" w:space="0" w:color="auto"/>
      </w:divBdr>
    </w:div>
    <w:div w:id="1894777407">
      <w:bodyDiv w:val="1"/>
      <w:marLeft w:val="0"/>
      <w:marRight w:val="0"/>
      <w:marTop w:val="0"/>
      <w:marBottom w:val="0"/>
      <w:divBdr>
        <w:top w:val="none" w:sz="0" w:space="0" w:color="auto"/>
        <w:left w:val="none" w:sz="0" w:space="0" w:color="auto"/>
        <w:bottom w:val="none" w:sz="0" w:space="0" w:color="auto"/>
        <w:right w:val="none" w:sz="0" w:space="0" w:color="auto"/>
      </w:divBdr>
    </w:div>
    <w:div w:id="1933127252">
      <w:bodyDiv w:val="1"/>
      <w:marLeft w:val="0"/>
      <w:marRight w:val="0"/>
      <w:marTop w:val="0"/>
      <w:marBottom w:val="0"/>
      <w:divBdr>
        <w:top w:val="none" w:sz="0" w:space="0" w:color="auto"/>
        <w:left w:val="none" w:sz="0" w:space="0" w:color="auto"/>
        <w:bottom w:val="none" w:sz="0" w:space="0" w:color="auto"/>
        <w:right w:val="none" w:sz="0" w:space="0" w:color="auto"/>
      </w:divBdr>
    </w:div>
    <w:div w:id="1991013934">
      <w:bodyDiv w:val="1"/>
      <w:marLeft w:val="0"/>
      <w:marRight w:val="0"/>
      <w:marTop w:val="0"/>
      <w:marBottom w:val="0"/>
      <w:divBdr>
        <w:top w:val="none" w:sz="0" w:space="0" w:color="auto"/>
        <w:left w:val="none" w:sz="0" w:space="0" w:color="auto"/>
        <w:bottom w:val="none" w:sz="0" w:space="0" w:color="auto"/>
        <w:right w:val="none" w:sz="0" w:space="0" w:color="auto"/>
      </w:divBdr>
    </w:div>
    <w:div w:id="2031753775">
      <w:bodyDiv w:val="1"/>
      <w:marLeft w:val="0"/>
      <w:marRight w:val="0"/>
      <w:marTop w:val="0"/>
      <w:marBottom w:val="0"/>
      <w:divBdr>
        <w:top w:val="none" w:sz="0" w:space="0" w:color="auto"/>
        <w:left w:val="none" w:sz="0" w:space="0" w:color="auto"/>
        <w:bottom w:val="none" w:sz="0" w:space="0" w:color="auto"/>
        <w:right w:val="none" w:sz="0" w:space="0" w:color="auto"/>
      </w:divBdr>
      <w:divsChild>
        <w:div w:id="553737494">
          <w:marLeft w:val="0"/>
          <w:marRight w:val="0"/>
          <w:marTop w:val="0"/>
          <w:marBottom w:val="0"/>
          <w:divBdr>
            <w:top w:val="none" w:sz="0" w:space="0" w:color="auto"/>
            <w:left w:val="none" w:sz="0" w:space="0" w:color="auto"/>
            <w:bottom w:val="none" w:sz="0" w:space="0" w:color="auto"/>
            <w:right w:val="none" w:sz="0" w:space="0" w:color="auto"/>
          </w:divBdr>
        </w:div>
        <w:div w:id="1085109980">
          <w:marLeft w:val="0"/>
          <w:marRight w:val="0"/>
          <w:marTop w:val="0"/>
          <w:marBottom w:val="0"/>
          <w:divBdr>
            <w:top w:val="none" w:sz="0" w:space="0" w:color="auto"/>
            <w:left w:val="none" w:sz="0" w:space="0" w:color="auto"/>
            <w:bottom w:val="none" w:sz="0" w:space="0" w:color="auto"/>
            <w:right w:val="none" w:sz="0" w:space="0" w:color="auto"/>
          </w:divBdr>
        </w:div>
      </w:divsChild>
    </w:div>
    <w:div w:id="2115127905">
      <w:bodyDiv w:val="1"/>
      <w:marLeft w:val="0"/>
      <w:marRight w:val="0"/>
      <w:marTop w:val="0"/>
      <w:marBottom w:val="0"/>
      <w:divBdr>
        <w:top w:val="none" w:sz="0" w:space="0" w:color="auto"/>
        <w:left w:val="none" w:sz="0" w:space="0" w:color="auto"/>
        <w:bottom w:val="none" w:sz="0" w:space="0" w:color="auto"/>
        <w:right w:val="none" w:sz="0" w:space="0" w:color="auto"/>
      </w:divBdr>
    </w:div>
    <w:div w:id="213250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ources.cste.org/SARS-CoV-2-Occupational-Exposure-Matrix-Industry-Extension/" TargetMode="External"/><Relationship Id="rId13" Type="http://schemas.openxmlformats.org/officeDocument/2006/relationships/hyperlink" Target="file:///\\phohbrlcsrvip01\ohbgroups\COVID%20OHB%20Epi\CSTE%20OH%20Subcommittee\Essential%20Workers\drafts%20essential%20workers\March%2023\www.onetonline.org\help\online\scale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dol.gov/agencies/eta/onet" TargetMode="External"/><Relationship Id="rId17" Type="http://schemas.openxmlformats.org/officeDocument/2006/relationships/hyperlink" Target="https://cdn.ymaws.com/www.cste.org/resource/resmgr/publications/Guidance_collecting_io_covid.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cdc.gov/coronavirus/2019-ncov/community/health-equity/racial-ethnic-disparities/index.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dc.gov/coronavirus/2019-ncov/downloads/COVID-19-Persons-Under-Investigation-and-Case-Report-Form-Instructions.pd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census.gov/programs-surveys/cps/technical-documentation/methodology/industry-and-occupation-classification.html" TargetMode="External"/><Relationship Id="rId23" Type="http://schemas.openxmlformats.org/officeDocument/2006/relationships/footer" Target="footer3.xml"/><Relationship Id="rId10" Type="http://schemas.openxmlformats.org/officeDocument/2006/relationships/hyperlink" Target="https://cdn.ymaws.com/www.cste.org/resource/resmgr/ps/positionstatement2020/Interim-20-ID-02_COVID-19.pdf"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osha.gov/coronavirus/safework" TargetMode="External"/><Relationship Id="rId14" Type="http://schemas.openxmlformats.org/officeDocument/2006/relationships/hyperlink" Target="https://www.bls.gov/soc/soc_2010_user_guide.pdf"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www.onetcenter.org/taxonomy.html" TargetMode="External"/><Relationship Id="rId2" Type="http://schemas.openxmlformats.org/officeDocument/2006/relationships/hyperlink" Target="https://www.cdc.gov/niosh/topics/coding/collect.html" TargetMode="External"/><Relationship Id="rId1" Type="http://schemas.openxmlformats.org/officeDocument/2006/relationships/hyperlink" Target="https://www.cdc.gov/coronavirus/2019-ncov/downloads/COVID-19-Persons-Under-Investigation-and-Case-Report-Form-Instruct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FB37C79A-9D00-4344-BF4F-0ABF11B6A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9237</Words>
  <Characters>52652</Characters>
  <Application>Microsoft Office Word</Application>
  <DocSecurity>4</DocSecurity>
  <Lines>438</Lines>
  <Paragraphs>123</Paragraphs>
  <ScaleCrop>false</ScaleCrop>
  <Company/>
  <LinksUpToDate>false</LinksUpToDate>
  <CharactersWithSpaces>61766</CharactersWithSpaces>
  <SharedDoc>false</SharedDoc>
  <HLinks>
    <vt:vector size="78" baseType="variant">
      <vt:variant>
        <vt:i4>2424909</vt:i4>
      </vt:variant>
      <vt:variant>
        <vt:i4>123</vt:i4>
      </vt:variant>
      <vt:variant>
        <vt:i4>0</vt:i4>
      </vt:variant>
      <vt:variant>
        <vt:i4>5</vt:i4>
      </vt:variant>
      <vt:variant>
        <vt:lpwstr>https://cdn.ymaws.com/www.cste.org/resource/resmgr/publications/Guidance_collecting_io_covid.pdf</vt:lpwstr>
      </vt:variant>
      <vt:variant>
        <vt:lpwstr/>
      </vt:variant>
      <vt:variant>
        <vt:i4>7274601</vt:i4>
      </vt:variant>
      <vt:variant>
        <vt:i4>120</vt:i4>
      </vt:variant>
      <vt:variant>
        <vt:i4>0</vt:i4>
      </vt:variant>
      <vt:variant>
        <vt:i4>5</vt:i4>
      </vt:variant>
      <vt:variant>
        <vt:lpwstr>https://www.cdc.gov/coronavirus/2019-ncov/community/health-equity/racial-ethnic-disparities/index.html</vt:lpwstr>
      </vt:variant>
      <vt:variant>
        <vt:lpwstr/>
      </vt:variant>
      <vt:variant>
        <vt:i4>6553706</vt:i4>
      </vt:variant>
      <vt:variant>
        <vt:i4>117</vt:i4>
      </vt:variant>
      <vt:variant>
        <vt:i4>0</vt:i4>
      </vt:variant>
      <vt:variant>
        <vt:i4>5</vt:i4>
      </vt:variant>
      <vt:variant>
        <vt:lpwstr>https://www.census.gov/programs-surveys/cps/technical-documentation/methodology/industry-and-occupation-classification.html</vt:lpwstr>
      </vt:variant>
      <vt:variant>
        <vt:lpwstr/>
      </vt:variant>
      <vt:variant>
        <vt:i4>3014662</vt:i4>
      </vt:variant>
      <vt:variant>
        <vt:i4>114</vt:i4>
      </vt:variant>
      <vt:variant>
        <vt:i4>0</vt:i4>
      </vt:variant>
      <vt:variant>
        <vt:i4>5</vt:i4>
      </vt:variant>
      <vt:variant>
        <vt:lpwstr>https://www.bls.gov/soc/soc_2010_user_guide.pdf</vt:lpwstr>
      </vt:variant>
      <vt:variant>
        <vt:lpwstr/>
      </vt:variant>
      <vt:variant>
        <vt:i4>6750304</vt:i4>
      </vt:variant>
      <vt:variant>
        <vt:i4>111</vt:i4>
      </vt:variant>
      <vt:variant>
        <vt:i4>0</vt:i4>
      </vt:variant>
      <vt:variant>
        <vt:i4>5</vt:i4>
      </vt:variant>
      <vt:variant>
        <vt:lpwstr>\\phohbrlcsrvip01\ohbgroups\COVID OHB Epi\CSTE OH Subcommittee\Essential Workers\drafts essential workers\March 23\www.onetonline.org\help\online\scales</vt:lpwstr>
      </vt:variant>
      <vt:variant>
        <vt:lpwstr>score</vt:lpwstr>
      </vt:variant>
      <vt:variant>
        <vt:i4>5505089</vt:i4>
      </vt:variant>
      <vt:variant>
        <vt:i4>108</vt:i4>
      </vt:variant>
      <vt:variant>
        <vt:i4>0</vt:i4>
      </vt:variant>
      <vt:variant>
        <vt:i4>5</vt:i4>
      </vt:variant>
      <vt:variant>
        <vt:lpwstr>https://www.dol.gov/agencies/eta/onet</vt:lpwstr>
      </vt:variant>
      <vt:variant>
        <vt:lpwstr/>
      </vt:variant>
      <vt:variant>
        <vt:i4>7340129</vt:i4>
      </vt:variant>
      <vt:variant>
        <vt:i4>105</vt:i4>
      </vt:variant>
      <vt:variant>
        <vt:i4>0</vt:i4>
      </vt:variant>
      <vt:variant>
        <vt:i4>5</vt:i4>
      </vt:variant>
      <vt:variant>
        <vt:lpwstr>https://www.cdc.gov/coronavirus/2019-ncov/downloads/COVID-19-Persons-Under-Investigation-and-Case-Report-Form-Instructions.pdf</vt:lpwstr>
      </vt:variant>
      <vt:variant>
        <vt:lpwstr/>
      </vt:variant>
      <vt:variant>
        <vt:i4>5963873</vt:i4>
      </vt:variant>
      <vt:variant>
        <vt:i4>102</vt:i4>
      </vt:variant>
      <vt:variant>
        <vt:i4>0</vt:i4>
      </vt:variant>
      <vt:variant>
        <vt:i4>5</vt:i4>
      </vt:variant>
      <vt:variant>
        <vt:lpwstr>https://cdn.ymaws.com/www.cste.org/resource/resmgr/ps/positionstatement2020/Interim-20-ID-02_COVID-19.pdf</vt:lpwstr>
      </vt:variant>
      <vt:variant>
        <vt:lpwstr/>
      </vt:variant>
      <vt:variant>
        <vt:i4>5439504</vt:i4>
      </vt:variant>
      <vt:variant>
        <vt:i4>99</vt:i4>
      </vt:variant>
      <vt:variant>
        <vt:i4>0</vt:i4>
      </vt:variant>
      <vt:variant>
        <vt:i4>5</vt:i4>
      </vt:variant>
      <vt:variant>
        <vt:lpwstr>https://www.osha.gov/coronavirus/safework</vt:lpwstr>
      </vt:variant>
      <vt:variant>
        <vt:lpwstr/>
      </vt:variant>
      <vt:variant>
        <vt:i4>4063338</vt:i4>
      </vt:variant>
      <vt:variant>
        <vt:i4>0</vt:i4>
      </vt:variant>
      <vt:variant>
        <vt:i4>0</vt:i4>
      </vt:variant>
      <vt:variant>
        <vt:i4>5</vt:i4>
      </vt:variant>
      <vt:variant>
        <vt:lpwstr>https://resources.cste.org/SARS-CoV-2-Occupational-Exposure-Matrix-Industry-Extension/</vt:lpwstr>
      </vt:variant>
      <vt:variant>
        <vt:lpwstr/>
      </vt:variant>
      <vt:variant>
        <vt:i4>76</vt:i4>
      </vt:variant>
      <vt:variant>
        <vt:i4>6</vt:i4>
      </vt:variant>
      <vt:variant>
        <vt:i4>0</vt:i4>
      </vt:variant>
      <vt:variant>
        <vt:i4>5</vt:i4>
      </vt:variant>
      <vt:variant>
        <vt:lpwstr>https://www.onetcenter.org/taxonomy.html</vt:lpwstr>
      </vt:variant>
      <vt:variant>
        <vt:lpwstr/>
      </vt:variant>
      <vt:variant>
        <vt:i4>1179658</vt:i4>
      </vt:variant>
      <vt:variant>
        <vt:i4>3</vt:i4>
      </vt:variant>
      <vt:variant>
        <vt:i4>0</vt:i4>
      </vt:variant>
      <vt:variant>
        <vt:i4>5</vt:i4>
      </vt:variant>
      <vt:variant>
        <vt:lpwstr>https://www.cdc.gov/niosh/topics/coding/collect.html</vt:lpwstr>
      </vt:variant>
      <vt:variant>
        <vt:lpwstr/>
      </vt:variant>
      <vt:variant>
        <vt:i4>7340129</vt:i4>
      </vt:variant>
      <vt:variant>
        <vt:i4>0</vt:i4>
      </vt:variant>
      <vt:variant>
        <vt:i4>0</vt:i4>
      </vt:variant>
      <vt:variant>
        <vt:i4>5</vt:i4>
      </vt:variant>
      <vt:variant>
        <vt:lpwstr>https://www.cdc.gov/coronavirus/2019-ncov/downloads/COVID-19-Persons-Under-Investigation-and-Case-Report-Form-Instructions.pdf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Letitia Davis</dc:creator>
  <cp:keywords/>
  <dc:description/>
  <cp:lastModifiedBy>Cailyn Lingwall</cp:lastModifiedBy>
  <cp:revision>7</cp:revision>
  <cp:lastPrinted>2021-03-26T20:42:00Z</cp:lastPrinted>
  <dcterms:created xsi:type="dcterms:W3CDTF">2021-09-01T20:15:00Z</dcterms:created>
  <dcterms:modified xsi:type="dcterms:W3CDTF">2022-03-09T21:10:00Z</dcterms:modified>
</cp:coreProperties>
</file>